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none" w:color="FFFFFF" w:sz="0"/>
          <w:left w:val="none" w:color="FFFFFF" w:sz="0"/>
          <w:bottom w:val="none" w:color="FFFFFF" w:sz="0"/>
          <w:right w:val="none" w:color="FFFFFF" w:sz="0"/>
          <w:insideH w:val="none" w:color="FFFFFF" w:sz="0"/>
          <w:insideV w:val="none" w:color="FFFFFF" w:sz="0"/>
        </w:tblBorders>
      </w:tblPr>
      <w:tblGrid>
        <w:gridCol w:w="10466"/>
      </w:tblGrid>
      <w:tr>
        <w:tc>
          <w:tcPr>
            <w:tcW w:type="dxa" w:w="10466"/>
            <w:tcBorders>
              <w:top w:val="none" w:color="FFFFFF" w:sz="0"/>
              <w:left w:val="none" w:color="FFFFFF" w:sz="0"/>
              <w:bottom w:val="none" w:color="FFFFFF" w:sz="0"/>
              <w:right w:val="none" w:color="FFFFFF" w:sz="0"/>
            </w:tcBorders>
            <w:shd w:fill="1F3A5F" w:color="auto" w:val="clear"/>
            <w:tcMar>
              <w:top w:type="dxa" w:w="220"/>
              <w:left w:type="dxa" w:w="340"/>
              <w:bottom w:type="dxa" w:w="200"/>
              <w:right w:type="dxa" w:w="340"/>
            </w:tcMar>
          </w:tcPr>
          <w:p>
            <w:r>
              <w:rPr>
                <w:rFonts w:ascii="Calibri" w:cs="Calibri" w:eastAsia="Calibri" w:hAnsi="Calibri"/>
                <w:b/>
                <w:bCs/>
                <w:color w:val="FFFFFF"/>
                <w:spacing w:val="60"/>
                <w:sz w:val="48"/>
                <w:szCs w:val="48"/>
              </w:rPr>
              <w:t xml:space="preserve">ISRAT JAHAN MIM</w:t>
            </w:r>
          </w:p>
          <w:p>
            <w:pPr>
              <w:spacing w:after="120" w:before="40"/>
            </w:pPr>
            <w:r>
              <w:rPr>
                <w:rFonts w:ascii="Calibri" w:cs="Calibri" w:eastAsia="Calibri" w:hAnsi="Calibri"/>
                <w:b/>
                <w:bCs/>
                <w:color w:val="A9DDE1"/>
                <w:sz w:val="21"/>
                <w:szCs w:val="21"/>
              </w:rPr>
              <w:t xml:space="preserve">Distribution &amp; Field Operations  |  Beneficiary Services  |  Accountability to Affected People</w:t>
            </w:r>
          </w:p>
          <w:p>
            <w:pPr>
              <w:spacing w:after="30"/>
            </w:pPr>
            <w:r>
              <w:rPr>
                <w:rFonts w:ascii="Calibri" w:cs="Calibri" w:eastAsia="Calibri" w:hAnsi="Calibri"/>
                <w:color w:val="FFFFFF"/>
                <w:sz w:val="19"/>
                <w:szCs w:val="19"/>
              </w:rPr>
              <w:t xml:space="preserve">Cox's Bazar, Bangladesh</w:t>
            </w:r>
            <w:r>
              <w:rPr>
                <w:rFonts w:ascii="Calibri" w:cs="Calibri" w:eastAsia="Calibri" w:hAnsi="Calibri"/>
                <w:color w:val="A9DDE1"/>
                <w:sz w:val="19"/>
                <w:szCs w:val="19"/>
              </w:rPr>
              <w:t xml:space="preserve">   •   </w:t>
            </w:r>
            <w:r>
              <w:rPr>
                <w:rFonts w:ascii="Calibri" w:cs="Calibri" w:eastAsia="Calibri" w:hAnsi="Calibri"/>
                <w:color w:val="FFFFFF"/>
                <w:sz w:val="19"/>
                <w:szCs w:val="19"/>
              </w:rPr>
              <w:t xml:space="preserve">+880 1410-020407</w:t>
            </w:r>
            <w:r>
              <w:rPr>
                <w:rFonts w:ascii="Calibri" w:cs="Calibri" w:eastAsia="Calibri" w:hAnsi="Calibri"/>
                <w:color w:val="A9DDE1"/>
                <w:sz w:val="19"/>
                <w:szCs w:val="19"/>
              </w:rPr>
              <w:t xml:space="preserve">   •   </w:t>
            </w:r>
            <w:r>
              <w:rPr>
                <w:rFonts w:ascii="Calibri" w:cs="Calibri" w:eastAsia="Calibri" w:hAnsi="Calibri"/>
                <w:color w:val="FFFFFF"/>
                <w:sz w:val="19"/>
                <w:szCs w:val="19"/>
              </w:rPr>
              <w:t xml:space="preserve">ishratmimjahan@gmail.com</w:t>
            </w:r>
          </w:p>
          <w:p>
            <w:r>
              <w:rPr>
                <w:rFonts w:ascii="Calibri" w:cs="Calibri" w:eastAsia="Calibri" w:hAnsi="Calibri"/>
                <w:b/>
                <w:bCs/>
                <w:color w:val="A9DDE1"/>
                <w:sz w:val="19"/>
                <w:szCs w:val="19"/>
              </w:rPr>
              <w:t xml:space="preserve">LinkedIn: </w:t>
            </w:r>
            <w:r>
              <w:rPr>
                <w:rFonts w:ascii="Calibri" w:cs="Calibri" w:eastAsia="Calibri" w:hAnsi="Calibri"/>
                <w:color w:val="FFFFFF"/>
                <w:sz w:val="19"/>
                <w:szCs w:val="19"/>
              </w:rPr>
              <w:t xml:space="preserve">linkedin.com/in/ishrat-jahan-7361a243b</w:t>
            </w:r>
            <w:r>
              <w:rPr>
                <w:rFonts w:ascii="Calibri" w:cs="Calibri" w:eastAsia="Calibri" w:hAnsi="Calibri"/>
                <w:color w:val="A9DDE1"/>
                <w:sz w:val="19"/>
                <w:szCs w:val="19"/>
              </w:rPr>
              <w:t xml:space="preserve">   •   </w:t>
            </w:r>
            <w:r>
              <w:rPr>
                <w:rFonts w:ascii="Calibri" w:cs="Calibri" w:eastAsia="Calibri" w:hAnsi="Calibri"/>
                <w:b/>
                <w:bCs/>
                <w:color w:val="A9DDE1"/>
                <w:sz w:val="19"/>
                <w:szCs w:val="19"/>
              </w:rPr>
              <w:t xml:space="preserve">Portfolio: </w:t>
            </w:r>
            <w:r>
              <w:rPr>
                <w:rFonts w:ascii="Calibri" w:cs="Calibri" w:eastAsia="Calibri" w:hAnsi="Calibri"/>
                <w:color w:val="FFFFFF"/>
                <w:sz w:val="19"/>
                <w:szCs w:val="19"/>
              </w:rPr>
              <w:t xml:space="preserve">www.isratjahanmim.digi-den.com</w:t>
            </w:r>
          </w:p>
        </w:tc>
      </w:tr>
    </w:tbl>
    <w:p>
      <w:pPr>
        <w:spacing w:after="40"/>
      </w:pPr>
    </w:p>
    <w:p>
      <w:pPr>
        <w:keepNext/>
        <w:pBdr>
          <w:bottom w:val="single" w:color="0E7C86" w:sz="10" w:space="3"/>
        </w:pBdr>
        <w:spacing w:after="70" w:before="150"/>
      </w:pPr>
      <w:r>
        <w:rPr>
          <w:rFonts w:ascii="Calibri" w:cs="Calibri" w:eastAsia="Calibri" w:hAnsi="Calibri"/>
          <w:b/>
          <w:bCs/>
          <w:color w:val="1F3A5F"/>
          <w:spacing w:val="30"/>
          <w:sz w:val="23"/>
          <w:szCs w:val="23"/>
        </w:rPr>
        <w:t xml:space="preserve">PROFESSIONAL SUMMARY</w:t>
      </w:r>
    </w:p>
    <w:p>
      <w:pPr>
        <w:spacing w:after="110" w:line="276"/>
        <w:jc w:val="both"/>
      </w:pPr>
      <w:r>
        <w:rPr>
          <w:rFonts w:ascii="Calibri" w:cs="Calibri" w:eastAsia="Calibri" w:hAnsi="Calibri"/>
          <w:color w:val="3F3F3F"/>
          <w:sz w:val="19"/>
          <w:szCs w:val="19"/>
        </w:rPr>
        <w:t xml:space="preserve">Humanitarian field professional with over five years of work experience, including more than two years of daily frontline work in the Rohingya refugee response in Ukhiya, Cox's Bazar. Currently leading a 26-member field team as Distribution Point Manager on an IOM-supported project, serving 1,000+ beneficiaries per day and 2,000+ during high-volume distributions. Strong hands-on experience in crowd management, beneficiary verification (KoboToolbox, GDT), camp-level coordination, problem solving, and Accountability to Affected People (AAP) with Complaint and Feedback Mechanisms (CFM). Skilled in daily reporting with MS Excel and Word, KoboCollect surveys, Google Workspace, meeting minutes and professional correspondence. BBA in Accounting (CGPA 3.94/4.00). Fluent in Bangla, English (C1) and Rohingya (C1), enabling direct, respectful communication with affected communities, partners and management.</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616"/>
        <w:gridCol w:w="2617"/>
        <w:gridCol w:w="2616"/>
        <w:gridCol w:w="2617"/>
      </w:tblGrid>
      <w:tr>
        <w:tc>
          <w:tcPr>
            <w:tcW w:type="dxa" w:w="2616"/>
            <w:tcBorders>
              <w:top w:val="single" w:color="FFFFFF" w:sz="18"/>
              <w:left w:val="single" w:color="FFFFFF" w:sz="18"/>
              <w:bottom w:val="single" w:color="FFFFFF" w:sz="18"/>
              <w:right w:val="single" w:color="FFFFFF" w:sz="18"/>
            </w:tcBorders>
            <w:shd w:fill="E7F3F4" w:color="auto" w:val="clear"/>
            <w:tcMar>
              <w:top w:type="dxa" w:w="80"/>
              <w:left w:type="dxa" w:w="120"/>
              <w:bottom w:type="dxa" w:w="80"/>
              <w:right w:type="dxa" w:w="120"/>
            </w:tcMar>
            <w:vAlign w:val="center"/>
          </w:tcPr>
          <w:p>
            <w:pPr>
              <w:jc w:val="center"/>
            </w:pPr>
            <w:r>
              <w:rPr>
                <w:rFonts w:ascii="Calibri" w:cs="Calibri" w:eastAsia="Calibri" w:hAnsi="Calibri"/>
                <w:b/>
                <w:bCs/>
                <w:color w:val="0E7C86"/>
                <w:sz w:val="34"/>
                <w:szCs w:val="34"/>
              </w:rPr>
              <w:t xml:space="preserve">2,000+</w:t>
            </w:r>
          </w:p>
          <w:p>
            <w:pPr>
              <w:jc w:val="center"/>
            </w:pPr>
            <w:r>
              <w:rPr>
                <w:rFonts w:ascii="Calibri" w:cs="Calibri" w:eastAsia="Calibri" w:hAnsi="Calibri"/>
                <w:color w:val="6F6F6F"/>
                <w:sz w:val="16"/>
                <w:szCs w:val="16"/>
              </w:rPr>
              <w:t xml:space="preserve">Beneficiaries served on peak distribution days</w:t>
            </w:r>
          </w:p>
        </w:tc>
        <w:tc>
          <w:tcPr>
            <w:tcW w:type="dxa" w:w="2617"/>
            <w:tcBorders>
              <w:top w:val="single" w:color="FFFFFF" w:sz="18"/>
              <w:left w:val="single" w:color="FFFFFF" w:sz="18"/>
              <w:bottom w:val="single" w:color="FFFFFF" w:sz="18"/>
              <w:right w:val="single" w:color="FFFFFF" w:sz="18"/>
            </w:tcBorders>
            <w:shd w:fill="E7F3F4" w:color="auto" w:val="clear"/>
            <w:tcMar>
              <w:top w:type="dxa" w:w="80"/>
              <w:left w:type="dxa" w:w="120"/>
              <w:bottom w:type="dxa" w:w="80"/>
              <w:right w:type="dxa" w:w="120"/>
            </w:tcMar>
            <w:vAlign w:val="center"/>
          </w:tcPr>
          <w:p>
            <w:pPr>
              <w:jc w:val="center"/>
            </w:pPr>
            <w:r>
              <w:rPr>
                <w:rFonts w:ascii="Calibri" w:cs="Calibri" w:eastAsia="Calibri" w:hAnsi="Calibri"/>
                <w:b/>
                <w:bCs/>
                <w:color w:val="0E7C86"/>
                <w:sz w:val="34"/>
                <w:szCs w:val="34"/>
              </w:rPr>
              <w:t xml:space="preserve">26</w:t>
            </w:r>
          </w:p>
          <w:p>
            <w:pPr>
              <w:jc w:val="center"/>
            </w:pPr>
            <w:r>
              <w:rPr>
                <w:rFonts w:ascii="Calibri" w:cs="Calibri" w:eastAsia="Calibri" w:hAnsi="Calibri"/>
                <w:color w:val="6F6F6F"/>
                <w:sz w:val="16"/>
                <w:szCs w:val="16"/>
              </w:rPr>
              <w:t xml:space="preserve">Field team members led and supervised</w:t>
            </w:r>
          </w:p>
        </w:tc>
        <w:tc>
          <w:tcPr>
            <w:tcW w:type="dxa" w:w="2616"/>
            <w:tcBorders>
              <w:top w:val="single" w:color="FFFFFF" w:sz="18"/>
              <w:left w:val="single" w:color="FFFFFF" w:sz="18"/>
              <w:bottom w:val="single" w:color="FFFFFF" w:sz="18"/>
              <w:right w:val="single" w:color="FFFFFF" w:sz="18"/>
            </w:tcBorders>
            <w:shd w:fill="E7F3F4" w:color="auto" w:val="clear"/>
            <w:tcMar>
              <w:top w:type="dxa" w:w="80"/>
              <w:left w:type="dxa" w:w="120"/>
              <w:bottom w:type="dxa" w:w="80"/>
              <w:right w:type="dxa" w:w="120"/>
            </w:tcMar>
            <w:vAlign w:val="center"/>
          </w:tcPr>
          <w:p>
            <w:pPr>
              <w:jc w:val="center"/>
            </w:pPr>
            <w:r>
              <w:rPr>
                <w:rFonts w:ascii="Calibri" w:cs="Calibri" w:eastAsia="Calibri" w:hAnsi="Calibri"/>
                <w:b/>
                <w:bCs/>
                <w:color w:val="0E7C86"/>
                <w:sz w:val="34"/>
                <w:szCs w:val="34"/>
              </w:rPr>
              <w:t xml:space="preserve">5+ yrs</w:t>
            </w:r>
          </w:p>
          <w:p>
            <w:pPr>
              <w:jc w:val="center"/>
            </w:pPr>
            <w:r>
              <w:rPr>
                <w:rFonts w:ascii="Calibri" w:cs="Calibri" w:eastAsia="Calibri" w:hAnsi="Calibri"/>
                <w:color w:val="6F6F6F"/>
                <w:sz w:val="16"/>
                <w:szCs w:val="16"/>
              </w:rPr>
              <w:t xml:space="preserve">Work experience, 2+ yrs in the Rohingya response</w:t>
            </w:r>
          </w:p>
        </w:tc>
        <w:tc>
          <w:tcPr>
            <w:tcW w:type="dxa" w:w="2617"/>
            <w:tcBorders>
              <w:top w:val="single" w:color="FFFFFF" w:sz="18"/>
              <w:left w:val="single" w:color="FFFFFF" w:sz="18"/>
              <w:bottom w:val="single" w:color="FFFFFF" w:sz="18"/>
              <w:right w:val="single" w:color="FFFFFF" w:sz="18"/>
            </w:tcBorders>
            <w:shd w:fill="E7F3F4" w:color="auto" w:val="clear"/>
            <w:tcMar>
              <w:top w:type="dxa" w:w="80"/>
              <w:left w:type="dxa" w:w="120"/>
              <w:bottom w:type="dxa" w:w="80"/>
              <w:right w:type="dxa" w:w="120"/>
            </w:tcMar>
            <w:vAlign w:val="center"/>
          </w:tcPr>
          <w:p>
            <w:pPr>
              <w:jc w:val="center"/>
            </w:pPr>
            <w:r>
              <w:rPr>
                <w:rFonts w:ascii="Calibri" w:cs="Calibri" w:eastAsia="Calibri" w:hAnsi="Calibri"/>
                <w:b/>
                <w:bCs/>
                <w:color w:val="0E7C86"/>
                <w:sz w:val="34"/>
                <w:szCs w:val="34"/>
              </w:rPr>
              <w:t xml:space="preserve">3.94</w:t>
            </w:r>
          </w:p>
          <w:p>
            <w:pPr>
              <w:jc w:val="center"/>
            </w:pPr>
            <w:r>
              <w:rPr>
                <w:rFonts w:ascii="Calibri" w:cs="Calibri" w:eastAsia="Calibri" w:hAnsi="Calibri"/>
                <w:color w:val="6F6F6F"/>
                <w:sz w:val="16"/>
                <w:szCs w:val="16"/>
              </w:rPr>
              <w:t xml:space="preserve">CGPA (out of 4.00), BBA in Accounting</w:t>
            </w:r>
          </w:p>
        </w:tc>
      </w:tr>
    </w:tbl>
    <w:p>
      <w:pPr>
        <w:keepNext/>
        <w:pBdr>
          <w:bottom w:val="single" w:color="0E7C86" w:sz="10" w:space="3"/>
        </w:pBdr>
        <w:spacing w:after="70" w:before="150"/>
      </w:pPr>
      <w:r>
        <w:rPr>
          <w:rFonts w:ascii="Calibri" w:cs="Calibri" w:eastAsia="Calibri" w:hAnsi="Calibri"/>
          <w:b/>
          <w:bCs/>
          <w:color w:val="1F3A5F"/>
          <w:spacing w:val="30"/>
          <w:sz w:val="23"/>
          <w:szCs w:val="23"/>
        </w:rPr>
        <w:t xml:space="preserve">CORE COMPETENCIES</w:t>
      </w:r>
    </w:p>
    <w:tbl>
      <w:tblPr>
        <w:tblW w:type="dxa" w:w="10466"/>
        <w:tblBorders>
          <w:top w:val="none" w:color="FFFFFF" w:sz="0"/>
          <w:left w:val="none" w:color="FFFFFF" w:sz="0"/>
          <w:bottom w:val="none" w:color="FFFFFF" w:sz="0"/>
          <w:right w:val="none" w:color="FFFFFF" w:sz="0"/>
          <w:insideH w:val="none" w:color="FFFFFF" w:sz="0"/>
          <w:insideV w:val="none" w:color="FFFFFF" w:sz="0"/>
        </w:tblBorders>
      </w:tblPr>
      <w:tblGrid>
        <w:gridCol w:w="3488"/>
        <w:gridCol w:w="3489"/>
        <w:gridCol w:w="3489"/>
      </w:tblGrid>
      <w:tr>
        <w:tc>
          <w:tcPr>
            <w:tcW w:type="dxa" w:w="3488"/>
            <w:tcBorders>
              <w:top w:val="none" w:color="FFFFFF" w:sz="0"/>
              <w:left w:val="none" w:color="FFFFFF" w:sz="0"/>
              <w:bottom w:val="single" w:color="DCE9EA" w:sz="4"/>
              <w:right w:val="none" w:color="FFFFFF" w:sz="0"/>
            </w:tcBorders>
            <w:tcMar>
              <w:top w:type="dxa" w:w="50"/>
              <w:left w:type="dxa" w:w="80"/>
              <w:bottom w:type="dxa" w:w="50"/>
              <w:right w:type="dxa" w:w="80"/>
            </w:tcMar>
          </w:tcPr>
          <w:p>
            <w:r>
              <w:rPr>
                <w:rFonts w:ascii="Calibri" w:cs="Calibri" w:eastAsia="Calibri" w:hAnsi="Calibri"/>
                <w:b/>
                <w:bCs/>
                <w:color w:val="0E7C86"/>
                <w:sz w:val="18"/>
                <w:szCs w:val="18"/>
              </w:rPr>
              <w:t xml:space="preserve">✔  </w:t>
            </w:r>
            <w:r>
              <w:rPr>
                <w:rFonts w:ascii="Calibri" w:cs="Calibri" w:eastAsia="Calibri" w:hAnsi="Calibri"/>
                <w:b/>
                <w:bCs/>
                <w:color w:val="1F3A5F"/>
                <w:sz w:val="19"/>
                <w:szCs w:val="19"/>
              </w:rPr>
              <w:t xml:space="preserve">Distribution Management</w:t>
            </w:r>
          </w:p>
        </w:tc>
        <w:tc>
          <w:tcPr>
            <w:tcW w:type="dxa" w:w="3489"/>
            <w:tcBorders>
              <w:top w:val="none" w:color="FFFFFF" w:sz="0"/>
              <w:left w:val="none" w:color="FFFFFF" w:sz="0"/>
              <w:bottom w:val="single" w:color="DCE9EA" w:sz="4"/>
              <w:right w:val="none" w:color="FFFFFF" w:sz="0"/>
            </w:tcBorders>
            <w:tcMar>
              <w:top w:type="dxa" w:w="50"/>
              <w:left w:type="dxa" w:w="80"/>
              <w:bottom w:type="dxa" w:w="50"/>
              <w:right w:type="dxa" w:w="80"/>
            </w:tcMar>
          </w:tcPr>
          <w:p>
            <w:r>
              <w:rPr>
                <w:rFonts w:ascii="Calibri" w:cs="Calibri" w:eastAsia="Calibri" w:hAnsi="Calibri"/>
                <w:b/>
                <w:bCs/>
                <w:color w:val="0E7C86"/>
                <w:sz w:val="18"/>
                <w:szCs w:val="18"/>
              </w:rPr>
              <w:t xml:space="preserve">✔  </w:t>
            </w:r>
            <w:r>
              <w:rPr>
                <w:rFonts w:ascii="Calibri" w:cs="Calibri" w:eastAsia="Calibri" w:hAnsi="Calibri"/>
                <w:b/>
                <w:bCs/>
                <w:color w:val="1F3A5F"/>
                <w:sz w:val="19"/>
                <w:szCs w:val="19"/>
              </w:rPr>
              <w:t xml:space="preserve">Crowd &amp; Queue Management</w:t>
            </w:r>
          </w:p>
        </w:tc>
        <w:tc>
          <w:tcPr>
            <w:tcW w:type="dxa" w:w="3489"/>
            <w:tcBorders>
              <w:top w:val="none" w:color="FFFFFF" w:sz="0"/>
              <w:left w:val="none" w:color="FFFFFF" w:sz="0"/>
              <w:bottom w:val="single" w:color="DCE9EA" w:sz="4"/>
              <w:right w:val="none" w:color="FFFFFF" w:sz="0"/>
            </w:tcBorders>
            <w:tcMar>
              <w:top w:type="dxa" w:w="50"/>
              <w:left w:type="dxa" w:w="80"/>
              <w:bottom w:type="dxa" w:w="50"/>
              <w:right w:type="dxa" w:w="80"/>
            </w:tcMar>
          </w:tcPr>
          <w:p>
            <w:r>
              <w:rPr>
                <w:rFonts w:ascii="Calibri" w:cs="Calibri" w:eastAsia="Calibri" w:hAnsi="Calibri"/>
                <w:b/>
                <w:bCs/>
                <w:color w:val="0E7C86"/>
                <w:sz w:val="18"/>
                <w:szCs w:val="18"/>
              </w:rPr>
              <w:t xml:space="preserve">✔  </w:t>
            </w:r>
            <w:r>
              <w:rPr>
                <w:rFonts w:ascii="Calibri" w:cs="Calibri" w:eastAsia="Calibri" w:hAnsi="Calibri"/>
                <w:b/>
                <w:bCs/>
                <w:color w:val="1F3A5F"/>
                <w:sz w:val="19"/>
                <w:szCs w:val="19"/>
              </w:rPr>
              <w:t xml:space="preserve">Beneficiary Verification</w:t>
            </w:r>
          </w:p>
        </w:tc>
      </w:tr>
      <w:tr>
        <w:tc>
          <w:tcPr>
            <w:tcW w:type="dxa" w:w="3488"/>
            <w:tcBorders>
              <w:top w:val="none" w:color="FFFFFF" w:sz="0"/>
              <w:left w:val="none" w:color="FFFFFF" w:sz="0"/>
              <w:bottom w:val="single" w:color="DCE9EA" w:sz="4"/>
              <w:right w:val="none" w:color="FFFFFF" w:sz="0"/>
            </w:tcBorders>
            <w:tcMar>
              <w:top w:type="dxa" w:w="50"/>
              <w:left w:type="dxa" w:w="80"/>
              <w:bottom w:type="dxa" w:w="50"/>
              <w:right w:type="dxa" w:w="80"/>
            </w:tcMar>
          </w:tcPr>
          <w:p>
            <w:r>
              <w:rPr>
                <w:rFonts w:ascii="Calibri" w:cs="Calibri" w:eastAsia="Calibri" w:hAnsi="Calibri"/>
                <w:b/>
                <w:bCs/>
                <w:color w:val="0E7C86"/>
                <w:sz w:val="18"/>
                <w:szCs w:val="18"/>
              </w:rPr>
              <w:t xml:space="preserve">✔  </w:t>
            </w:r>
            <w:r>
              <w:rPr>
                <w:rFonts w:ascii="Calibri" w:cs="Calibri" w:eastAsia="Calibri" w:hAnsi="Calibri"/>
                <w:b/>
                <w:bCs/>
                <w:color w:val="1F3A5F"/>
                <w:sz w:val="19"/>
                <w:szCs w:val="19"/>
              </w:rPr>
              <w:t xml:space="preserve">Camp-level Coordination</w:t>
            </w:r>
          </w:p>
        </w:tc>
        <w:tc>
          <w:tcPr>
            <w:tcW w:type="dxa" w:w="3489"/>
            <w:tcBorders>
              <w:top w:val="none" w:color="FFFFFF" w:sz="0"/>
              <w:left w:val="none" w:color="FFFFFF" w:sz="0"/>
              <w:bottom w:val="single" w:color="DCE9EA" w:sz="4"/>
              <w:right w:val="none" w:color="FFFFFF" w:sz="0"/>
            </w:tcBorders>
            <w:tcMar>
              <w:top w:type="dxa" w:w="50"/>
              <w:left w:type="dxa" w:w="80"/>
              <w:bottom w:type="dxa" w:w="50"/>
              <w:right w:type="dxa" w:w="80"/>
            </w:tcMar>
          </w:tcPr>
          <w:p>
            <w:r>
              <w:rPr>
                <w:rFonts w:ascii="Calibri" w:cs="Calibri" w:eastAsia="Calibri" w:hAnsi="Calibri"/>
                <w:b/>
                <w:bCs/>
                <w:color w:val="0E7C86"/>
                <w:sz w:val="18"/>
                <w:szCs w:val="18"/>
              </w:rPr>
              <w:t xml:space="preserve">✔  </w:t>
            </w:r>
            <w:r>
              <w:rPr>
                <w:rFonts w:ascii="Calibri" w:cs="Calibri" w:eastAsia="Calibri" w:hAnsi="Calibri"/>
                <w:b/>
                <w:bCs/>
                <w:color w:val="1F3A5F"/>
                <w:sz w:val="19"/>
                <w:szCs w:val="19"/>
              </w:rPr>
              <w:t xml:space="preserve">AAP &amp; Complaint/Feedback (CFM)</w:t>
            </w:r>
          </w:p>
        </w:tc>
        <w:tc>
          <w:tcPr>
            <w:tcW w:type="dxa" w:w="3489"/>
            <w:tcBorders>
              <w:top w:val="none" w:color="FFFFFF" w:sz="0"/>
              <w:left w:val="none" w:color="FFFFFF" w:sz="0"/>
              <w:bottom w:val="single" w:color="DCE9EA" w:sz="4"/>
              <w:right w:val="none" w:color="FFFFFF" w:sz="0"/>
            </w:tcBorders>
            <w:tcMar>
              <w:top w:type="dxa" w:w="50"/>
              <w:left w:type="dxa" w:w="80"/>
              <w:bottom w:type="dxa" w:w="50"/>
              <w:right w:type="dxa" w:w="80"/>
            </w:tcMar>
          </w:tcPr>
          <w:p>
            <w:r>
              <w:rPr>
                <w:rFonts w:ascii="Calibri" w:cs="Calibri" w:eastAsia="Calibri" w:hAnsi="Calibri"/>
                <w:b/>
                <w:bCs/>
                <w:color w:val="0E7C86"/>
                <w:sz w:val="18"/>
                <w:szCs w:val="18"/>
              </w:rPr>
              <w:t xml:space="preserve">✔  </w:t>
            </w:r>
            <w:r>
              <w:rPr>
                <w:rFonts w:ascii="Calibri" w:cs="Calibri" w:eastAsia="Calibri" w:hAnsi="Calibri"/>
                <w:b/>
                <w:bCs/>
                <w:color w:val="1F3A5F"/>
                <w:sz w:val="19"/>
                <w:szCs w:val="19"/>
              </w:rPr>
              <w:t xml:space="preserve">PSEA &amp; Safeguarding Awareness</w:t>
            </w:r>
          </w:p>
        </w:tc>
      </w:tr>
      <w:tr>
        <w:tc>
          <w:tcPr>
            <w:tcW w:type="dxa" w:w="3488"/>
            <w:tcBorders>
              <w:top w:val="none" w:color="FFFFFF" w:sz="0"/>
              <w:left w:val="none" w:color="FFFFFF" w:sz="0"/>
              <w:bottom w:val="single" w:color="DCE9EA" w:sz="4"/>
              <w:right w:val="none" w:color="FFFFFF" w:sz="0"/>
            </w:tcBorders>
            <w:tcMar>
              <w:top w:type="dxa" w:w="50"/>
              <w:left w:type="dxa" w:w="80"/>
              <w:bottom w:type="dxa" w:w="50"/>
              <w:right w:type="dxa" w:w="80"/>
            </w:tcMar>
          </w:tcPr>
          <w:p>
            <w:r>
              <w:rPr>
                <w:rFonts w:ascii="Calibri" w:cs="Calibri" w:eastAsia="Calibri" w:hAnsi="Calibri"/>
                <w:b/>
                <w:bCs/>
                <w:color w:val="0E7C86"/>
                <w:sz w:val="18"/>
                <w:szCs w:val="18"/>
              </w:rPr>
              <w:t xml:space="preserve">✔  </w:t>
            </w:r>
            <w:r>
              <w:rPr>
                <w:rFonts w:ascii="Calibri" w:cs="Calibri" w:eastAsia="Calibri" w:hAnsi="Calibri"/>
                <w:b/>
                <w:bCs/>
                <w:color w:val="1F3A5F"/>
                <w:sz w:val="19"/>
                <w:szCs w:val="19"/>
              </w:rPr>
              <w:t xml:space="preserve">Team Leadership &amp; Supervision</w:t>
            </w:r>
          </w:p>
        </w:tc>
        <w:tc>
          <w:tcPr>
            <w:tcW w:type="dxa" w:w="3489"/>
            <w:tcBorders>
              <w:top w:val="none" w:color="FFFFFF" w:sz="0"/>
              <w:left w:val="none" w:color="FFFFFF" w:sz="0"/>
              <w:bottom w:val="single" w:color="DCE9EA" w:sz="4"/>
              <w:right w:val="none" w:color="FFFFFF" w:sz="0"/>
            </w:tcBorders>
            <w:tcMar>
              <w:top w:type="dxa" w:w="50"/>
              <w:left w:type="dxa" w:w="80"/>
              <w:bottom w:type="dxa" w:w="50"/>
              <w:right w:type="dxa" w:w="80"/>
            </w:tcMar>
          </w:tcPr>
          <w:p>
            <w:r>
              <w:rPr>
                <w:rFonts w:ascii="Calibri" w:cs="Calibri" w:eastAsia="Calibri" w:hAnsi="Calibri"/>
                <w:b/>
                <w:bCs/>
                <w:color w:val="0E7C86"/>
                <w:sz w:val="18"/>
                <w:szCs w:val="18"/>
              </w:rPr>
              <w:t xml:space="preserve">✔  </w:t>
            </w:r>
            <w:r>
              <w:rPr>
                <w:rFonts w:ascii="Calibri" w:cs="Calibri" w:eastAsia="Calibri" w:hAnsi="Calibri"/>
                <w:b/>
                <w:bCs/>
                <w:color w:val="1F3A5F"/>
                <w:sz w:val="19"/>
                <w:szCs w:val="19"/>
              </w:rPr>
              <w:t xml:space="preserve">Problem Solving on the Spot</w:t>
            </w:r>
          </w:p>
        </w:tc>
        <w:tc>
          <w:tcPr>
            <w:tcW w:type="dxa" w:w="3489"/>
            <w:tcBorders>
              <w:top w:val="none" w:color="FFFFFF" w:sz="0"/>
              <w:left w:val="none" w:color="FFFFFF" w:sz="0"/>
              <w:bottom w:val="single" w:color="DCE9EA" w:sz="4"/>
              <w:right w:val="none" w:color="FFFFFF" w:sz="0"/>
            </w:tcBorders>
            <w:tcMar>
              <w:top w:type="dxa" w:w="50"/>
              <w:left w:type="dxa" w:w="80"/>
              <w:bottom w:type="dxa" w:w="50"/>
              <w:right w:type="dxa" w:w="80"/>
            </w:tcMar>
          </w:tcPr>
          <w:p>
            <w:r>
              <w:rPr>
                <w:rFonts w:ascii="Calibri" w:cs="Calibri" w:eastAsia="Calibri" w:hAnsi="Calibri"/>
                <w:b/>
                <w:bCs/>
                <w:color w:val="0E7C86"/>
                <w:sz w:val="18"/>
                <w:szCs w:val="18"/>
              </w:rPr>
              <w:t xml:space="preserve">✔  </w:t>
            </w:r>
            <w:r>
              <w:rPr>
                <w:rFonts w:ascii="Calibri" w:cs="Calibri" w:eastAsia="Calibri" w:hAnsi="Calibri"/>
                <w:b/>
                <w:bCs/>
                <w:color w:val="1F3A5F"/>
                <w:sz w:val="19"/>
                <w:szCs w:val="19"/>
              </w:rPr>
              <w:t xml:space="preserve">Reporting &amp; Documentation</w:t>
            </w:r>
          </w:p>
        </w:tc>
      </w:tr>
    </w:tbl>
    <w:p>
      <w:pPr>
        <w:keepNext/>
        <w:pBdr>
          <w:bottom w:val="single" w:color="0E7C86" w:sz="10" w:space="3"/>
        </w:pBdr>
        <w:spacing w:after="70" w:before="150"/>
      </w:pPr>
      <w:r>
        <w:rPr>
          <w:rFonts w:ascii="Calibri" w:cs="Calibri" w:eastAsia="Calibri" w:hAnsi="Calibri"/>
          <w:b/>
          <w:bCs/>
          <w:color w:val="1F3A5F"/>
          <w:spacing w:val="30"/>
          <w:sz w:val="23"/>
          <w:szCs w:val="23"/>
        </w:rPr>
        <w:t xml:space="preserve">PROFESSIONAL EXPERIENCE</w:t>
      </w:r>
    </w:p>
    <w:p>
      <w:pPr>
        <w:keepNext/>
        <w:tabs>
          <w:tab w:val="right" w:pos="10466"/>
        </w:tabs>
        <w:spacing w:after="0" w:before="120"/>
      </w:pPr>
      <w:r>
        <w:rPr>
          <w:rFonts w:ascii="Calibri" w:cs="Calibri" w:eastAsia="Calibri" w:hAnsi="Calibri"/>
          <w:b/>
          <w:bCs/>
          <w:color w:val="1F3A5F"/>
          <w:sz w:val="22"/>
          <w:szCs w:val="22"/>
        </w:rPr>
        <w:t xml:space="preserve">Distribution Point Manager</w:t>
      </w:r>
      <w:r>
        <w:tab/>
      </w:r>
      <w:r>
        <w:rPr>
          <w:rFonts w:ascii="Calibri" w:cs="Calibri" w:eastAsia="Calibri" w:hAnsi="Calibri"/>
          <w:b/>
          <w:bCs/>
          <w:color w:val="0E7C86"/>
          <w:sz w:val="19"/>
          <w:szCs w:val="19"/>
        </w:rPr>
        <w:t xml:space="preserve">Feb 2025 – Present</w:t>
      </w:r>
    </w:p>
    <w:p>
      <w:pPr>
        <w:keepNext/>
        <w:spacing w:after="50"/>
      </w:pPr>
      <w:r>
        <w:rPr>
          <w:rFonts w:ascii="Calibri" w:cs="Calibri" w:eastAsia="Calibri" w:hAnsi="Calibri"/>
          <w:i/>
          <w:iCs/>
          <w:color w:val="3F3F3F"/>
          <w:sz w:val="19"/>
          <w:szCs w:val="19"/>
        </w:rPr>
        <w:t xml:space="preserve">Enroute International (implementing partner, IOM-supported Humanitarian Assistance Project)</w:t>
      </w:r>
      <w:r>
        <w:rPr>
          <w:rFonts w:ascii="Calibri" w:cs="Calibri" w:eastAsia="Calibri" w:hAnsi="Calibri"/>
          <w:color w:val="6F6F6F"/>
          <w:sz w:val="19"/>
          <w:szCs w:val="19"/>
        </w:rPr>
        <w:t xml:space="preserve">  |  Balukhali, Ukhiya, Cox's Bazar</w:t>
      </w:r>
    </w:p>
    <w:p>
      <w:pPr>
        <w:pStyle w:val="ListParagraph"/>
        <w:numPr>
          <w:ilvl w:val="0"/>
          <w:numId w:val="2"/>
        </w:numPr>
        <w:spacing w:after="20" w:line="252"/>
      </w:pPr>
      <w:r>
        <w:rPr>
          <w:rFonts w:ascii="Calibri" w:cs="Calibri" w:eastAsia="Calibri" w:hAnsi="Calibri"/>
          <w:color w:val="3F3F3F"/>
          <w:sz w:val="19"/>
          <w:szCs w:val="19"/>
        </w:rPr>
        <w:t xml:space="preserve">Lead day-to-day distribution operations at the Balukhali distribution point, supervising a 26-member field team and serving 1,000+ beneficiaries per day, rising to 2,000+ during high-volume distribution cycles.</w:t>
      </w:r>
    </w:p>
    <w:p>
      <w:pPr>
        <w:pStyle w:val="ListParagraph"/>
        <w:numPr>
          <w:ilvl w:val="0"/>
          <w:numId w:val="2"/>
        </w:numPr>
        <w:spacing w:after="20" w:line="252"/>
      </w:pPr>
      <w:r>
        <w:rPr>
          <w:rFonts w:ascii="Calibri" w:cs="Calibri" w:eastAsia="Calibri" w:hAnsi="Calibri"/>
          <w:color w:val="3F3F3F"/>
          <w:sz w:val="19"/>
          <w:szCs w:val="19"/>
        </w:rPr>
        <w:t xml:space="preserve">Plan the daily workflow, assign duties and brief team members before each distribution day so assistance is delivered on time and in an orderly way.</w:t>
      </w:r>
    </w:p>
    <w:p>
      <w:pPr>
        <w:pStyle w:val="ListParagraph"/>
        <w:numPr>
          <w:ilvl w:val="0"/>
          <w:numId w:val="2"/>
        </w:numPr>
        <w:spacing w:after="20" w:line="252"/>
      </w:pPr>
      <w:r>
        <w:rPr>
          <w:rFonts w:ascii="Calibri" w:cs="Calibri" w:eastAsia="Calibri" w:hAnsi="Calibri"/>
          <w:color w:val="3F3F3F"/>
          <w:sz w:val="19"/>
          <w:szCs w:val="19"/>
        </w:rPr>
        <w:t xml:space="preserve">Verify beneficiaries using KoboToolbox, beneficiary cards and GDT (Global Distribution Tool), making sure the right assistance reaches the right household and distribution records stay accurate.</w:t>
      </w:r>
    </w:p>
    <w:p>
      <w:pPr>
        <w:pStyle w:val="ListParagraph"/>
        <w:numPr>
          <w:ilvl w:val="0"/>
          <w:numId w:val="2"/>
        </w:numPr>
        <w:spacing w:after="20" w:line="252"/>
      </w:pPr>
      <w:r>
        <w:rPr>
          <w:rFonts w:ascii="Calibri" w:cs="Calibri" w:eastAsia="Calibri" w:hAnsi="Calibri"/>
          <w:color w:val="3F3F3F"/>
          <w:sz w:val="19"/>
          <w:szCs w:val="19"/>
        </w:rPr>
        <w:t xml:space="preserve">Resolve verification discrepancies on the spot and refer unresolved cases to the relevant team for follow-up, so no eligible household is left out.</w:t>
      </w:r>
    </w:p>
    <w:p>
      <w:pPr>
        <w:pStyle w:val="ListParagraph"/>
        <w:numPr>
          <w:ilvl w:val="0"/>
          <w:numId w:val="2"/>
        </w:numPr>
        <w:spacing w:after="20" w:line="252"/>
      </w:pPr>
      <w:r>
        <w:rPr>
          <w:rFonts w:ascii="Calibri" w:cs="Calibri" w:eastAsia="Calibri" w:hAnsi="Calibri"/>
          <w:color w:val="3F3F3F"/>
          <w:sz w:val="19"/>
          <w:szCs w:val="19"/>
        </w:rPr>
        <w:t xml:space="preserve">Manage crowd and queue flow to keep distributions safe, calm and dignified, with attention to people with specific needs such as older persons, persons with disabilities and pregnant women.</w:t>
      </w:r>
    </w:p>
    <w:p>
      <w:pPr>
        <w:pStyle w:val="ListParagraph"/>
        <w:numPr>
          <w:ilvl w:val="0"/>
          <w:numId w:val="2"/>
        </w:numPr>
        <w:spacing w:after="20" w:line="252"/>
      </w:pPr>
      <w:r>
        <w:rPr>
          <w:rFonts w:ascii="Calibri" w:cs="Calibri" w:eastAsia="Calibri" w:hAnsi="Calibri"/>
          <w:color w:val="3F3F3F"/>
          <w:sz w:val="19"/>
          <w:szCs w:val="19"/>
        </w:rPr>
        <w:t xml:space="preserve">Apply AAP principles and CFM protocols throughout the distribution cycle, making sure beneficiaries receive clear information and can share complaints and feedback safely.</w:t>
      </w:r>
    </w:p>
    <w:p>
      <w:pPr>
        <w:pStyle w:val="ListParagraph"/>
        <w:numPr>
          <w:ilvl w:val="0"/>
          <w:numId w:val="2"/>
        </w:numPr>
        <w:spacing w:after="20" w:line="252"/>
      </w:pPr>
      <w:r>
        <w:rPr>
          <w:rFonts w:ascii="Calibri" w:cs="Calibri" w:eastAsia="Calibri" w:hAnsi="Calibri"/>
          <w:color w:val="3F3F3F"/>
          <w:sz w:val="19"/>
          <w:szCs w:val="19"/>
        </w:rPr>
        <w:t xml:space="preserve">Coordinate at camp level with camp management and site actors, IOM project staff, field partners and community leaders to schedule distributions, share information with the community and solve camp-level issues.</w:t>
      </w:r>
    </w:p>
    <w:p>
      <w:pPr>
        <w:pStyle w:val="ListParagraph"/>
        <w:numPr>
          <w:ilvl w:val="0"/>
          <w:numId w:val="2"/>
        </w:numPr>
        <w:spacing w:after="20" w:line="252"/>
      </w:pPr>
      <w:r>
        <w:rPr>
          <w:rFonts w:ascii="Calibri" w:cs="Calibri" w:eastAsia="Calibri" w:hAnsi="Calibri"/>
          <w:color w:val="3F3F3F"/>
          <w:sz w:val="19"/>
          <w:szCs w:val="19"/>
        </w:rPr>
        <w:t xml:space="preserve">Handle problems as they happen on distribution days, such as crowd pressure, card or list mismatches, absent beneficiaries and weather delays, and find quick, fair solutions without stopping the distribution.</w:t>
      </w:r>
    </w:p>
    <w:p>
      <w:pPr>
        <w:pStyle w:val="ListParagraph"/>
        <w:numPr>
          <w:ilvl w:val="0"/>
          <w:numId w:val="2"/>
        </w:numPr>
        <w:spacing w:after="20" w:line="252"/>
      </w:pPr>
      <w:r>
        <w:rPr>
          <w:rFonts w:ascii="Calibri" w:cs="Calibri" w:eastAsia="Calibri" w:hAnsi="Calibri"/>
          <w:color w:val="3F3F3F"/>
          <w:sz w:val="19"/>
          <w:szCs w:val="19"/>
        </w:rPr>
        <w:t xml:space="preserve">Prepare daily distribution reports and data summaries in MS Excel and Word, write meeting minutes, and communicate with management and partners through professional email, Outlook, Teams and Zoom.</w:t>
      </w:r>
    </w:p>
    <w:p>
      <w:pPr>
        <w:pStyle w:val="ListParagraph"/>
        <w:numPr>
          <w:ilvl w:val="0"/>
          <w:numId w:val="2"/>
        </w:numPr>
        <w:spacing w:after="20" w:line="252"/>
      </w:pPr>
      <w:r>
        <w:rPr>
          <w:rFonts w:ascii="Calibri" w:cs="Calibri" w:eastAsia="Calibri" w:hAnsi="Calibri"/>
          <w:color w:val="3F3F3F"/>
          <w:sz w:val="19"/>
          <w:szCs w:val="19"/>
        </w:rPr>
        <w:t xml:space="preserve">Follow LPG and fire-safety procedures at the distribution point to protect staff and community members, and make sure the team follows the PSEA code of conduct.</w:t>
      </w:r>
    </w:p>
    <w:p>
      <w:pPr>
        <w:pBdr>
          <w:left w:val="single" w:color="0E7C86" w:sz="24" w:space="6"/>
        </w:pBdr>
        <w:shd w:fill="E7F3F4" w:color="auto" w:val="clear"/>
        <w:spacing w:after="40" w:before="50" w:line="264"/>
        <w:ind w:left="120"/>
      </w:pPr>
      <w:r>
        <w:rPr>
          <w:rFonts w:ascii="Calibri" w:cs="Calibri" w:eastAsia="Calibri" w:hAnsi="Calibri"/>
          <w:b/>
          <w:bCs/>
          <w:color w:val="0E7C86"/>
          <w:sz w:val="19"/>
          <w:szCs w:val="19"/>
        </w:rPr>
        <w:t xml:space="preserve">Key achievement: </w:t>
      </w:r>
      <w:r>
        <w:rPr>
          <w:rFonts w:ascii="Calibri" w:cs="Calibri" w:eastAsia="Calibri" w:hAnsi="Calibri"/>
          <w:color w:val="3F3F3F"/>
          <w:sz w:val="19"/>
          <w:szCs w:val="19"/>
        </w:rPr>
        <w:t xml:space="preserve">Managed high-volume distribution days of 2,000+ beneficiaries with the same 26-member team, keeping operations orderly, accountable and on schedule.</w:t>
      </w:r>
    </w:p>
    <w:p>
      <w:pPr>
        <w:keepNext/>
        <w:tabs>
          <w:tab w:val="right" w:pos="10466"/>
        </w:tabs>
        <w:spacing w:after="0" w:before="120"/>
      </w:pPr>
      <w:r>
        <w:rPr>
          <w:rFonts w:ascii="Calibri" w:cs="Calibri" w:eastAsia="Calibri" w:hAnsi="Calibri"/>
          <w:b/>
          <w:bCs/>
          <w:color w:val="1F3A5F"/>
          <w:sz w:val="22"/>
          <w:szCs w:val="22"/>
        </w:rPr>
        <w:t xml:space="preserve">Customer Service Officer</w:t>
      </w:r>
      <w:r>
        <w:tab/>
      </w:r>
      <w:r>
        <w:rPr>
          <w:rFonts w:ascii="Calibri" w:cs="Calibri" w:eastAsia="Calibri" w:hAnsi="Calibri"/>
          <w:b/>
          <w:bCs/>
          <w:color w:val="0E7C86"/>
          <w:sz w:val="19"/>
          <w:szCs w:val="19"/>
        </w:rPr>
        <w:t xml:space="preserve">Jun 2024 – Jan 2025</w:t>
      </w:r>
    </w:p>
    <w:p>
      <w:pPr>
        <w:keepNext/>
        <w:spacing w:after="50"/>
      </w:pPr>
      <w:r>
        <w:rPr>
          <w:rFonts w:ascii="Calibri" w:cs="Calibri" w:eastAsia="Calibri" w:hAnsi="Calibri"/>
          <w:i/>
          <w:iCs/>
          <w:color w:val="3F3F3F"/>
          <w:sz w:val="19"/>
          <w:szCs w:val="19"/>
        </w:rPr>
        <w:t xml:space="preserve">RTM International (WHO-supported project)</w:t>
      </w:r>
      <w:r>
        <w:rPr>
          <w:rFonts w:ascii="Calibri" w:cs="Calibri" w:eastAsia="Calibri" w:hAnsi="Calibri"/>
          <w:color w:val="6F6F6F"/>
          <w:sz w:val="19"/>
          <w:szCs w:val="19"/>
        </w:rPr>
        <w:t xml:space="preserve">  |  Balukhali, Cox's Bazar</w:t>
      </w:r>
    </w:p>
    <w:p>
      <w:pPr>
        <w:pStyle w:val="ListParagraph"/>
        <w:numPr>
          <w:ilvl w:val="0"/>
          <w:numId w:val="2"/>
        </w:numPr>
        <w:spacing w:after="20" w:line="252"/>
      </w:pPr>
      <w:r>
        <w:rPr>
          <w:rFonts w:ascii="Calibri" w:cs="Calibri" w:eastAsia="Calibri" w:hAnsi="Calibri"/>
          <w:color w:val="3F3F3F"/>
          <w:sz w:val="19"/>
          <w:szCs w:val="19"/>
        </w:rPr>
        <w:t xml:space="preserve">Provided frontline support to beneficiaries and community members, handling inquiries, complaints and feedback with respect and full confidentiality.</w:t>
      </w:r>
    </w:p>
    <w:p>
      <w:pPr>
        <w:pStyle w:val="ListParagraph"/>
        <w:numPr>
          <w:ilvl w:val="0"/>
          <w:numId w:val="2"/>
        </w:numPr>
        <w:spacing w:after="20" w:line="252"/>
      </w:pPr>
      <w:r>
        <w:rPr>
          <w:rFonts w:ascii="Calibri" w:cs="Calibri" w:eastAsia="Calibri" w:hAnsi="Calibri"/>
          <w:color w:val="3F3F3F"/>
          <w:sz w:val="19"/>
          <w:szCs w:val="19"/>
        </w:rPr>
        <w:t xml:space="preserve">Verified beneficiary information and maintained accurate, up-to-date service records.</w:t>
      </w:r>
    </w:p>
    <w:p>
      <w:pPr>
        <w:pStyle w:val="ListParagraph"/>
        <w:numPr>
          <w:ilvl w:val="0"/>
          <w:numId w:val="2"/>
        </w:numPr>
        <w:spacing w:after="20" w:line="252"/>
      </w:pPr>
      <w:r>
        <w:rPr>
          <w:rFonts w:ascii="Calibri" w:cs="Calibri" w:eastAsia="Calibri" w:hAnsi="Calibri"/>
          <w:color w:val="3F3F3F"/>
          <w:sz w:val="19"/>
          <w:szCs w:val="19"/>
        </w:rPr>
        <w:t xml:space="preserve">Supported data collection, including KoboCollect surveys, and prepared reports in MS Excel and Word, helping programme teams follow up on service quality.</w:t>
      </w:r>
    </w:p>
    <w:p>
      <w:pPr>
        <w:pStyle w:val="ListParagraph"/>
        <w:numPr>
          <w:ilvl w:val="0"/>
          <w:numId w:val="2"/>
        </w:numPr>
        <w:spacing w:after="20" w:line="252"/>
      </w:pPr>
      <w:r>
        <w:rPr>
          <w:rFonts w:ascii="Calibri" w:cs="Calibri" w:eastAsia="Calibri" w:hAnsi="Calibri"/>
          <w:color w:val="3F3F3F"/>
          <w:sz w:val="19"/>
          <w:szCs w:val="19"/>
        </w:rPr>
        <w:t xml:space="preserve">Coordinated with programme and field teams to resolve cases quickly, including referrals and timely follow-up in line with organisational and humanitarian standards.</w:t>
      </w:r>
    </w:p>
    <w:p>
      <w:pPr>
        <w:pStyle w:val="ListParagraph"/>
        <w:numPr>
          <w:ilvl w:val="0"/>
          <w:numId w:val="2"/>
        </w:numPr>
        <w:spacing w:after="20" w:line="252"/>
      </w:pPr>
      <w:r>
        <w:rPr>
          <w:rFonts w:ascii="Calibri" w:cs="Calibri" w:eastAsia="Calibri" w:hAnsi="Calibri"/>
          <w:color w:val="3F3F3F"/>
          <w:sz w:val="19"/>
          <w:szCs w:val="19"/>
        </w:rPr>
        <w:t xml:space="preserve">Managed a high volume of beneficiary interactions under pressure while keeping service quality consistent.</w:t>
      </w:r>
    </w:p>
    <w:p>
      <w:pPr>
        <w:keepNext/>
        <w:tabs>
          <w:tab w:val="right" w:pos="10466"/>
        </w:tabs>
        <w:spacing w:after="0" w:before="120"/>
      </w:pPr>
      <w:r>
        <w:rPr>
          <w:rFonts w:ascii="Calibri" w:cs="Calibri" w:eastAsia="Calibri" w:hAnsi="Calibri"/>
          <w:b/>
          <w:bCs/>
          <w:color w:val="1F3A5F"/>
          <w:sz w:val="22"/>
          <w:szCs w:val="22"/>
        </w:rPr>
        <w:t xml:space="preserve">Assistant Teacher</w:t>
      </w:r>
      <w:r>
        <w:tab/>
      </w:r>
      <w:r>
        <w:rPr>
          <w:rFonts w:ascii="Calibri" w:cs="Calibri" w:eastAsia="Calibri" w:hAnsi="Calibri"/>
          <w:b/>
          <w:bCs/>
          <w:color w:val="0E7C86"/>
          <w:sz w:val="19"/>
          <w:szCs w:val="19"/>
        </w:rPr>
        <w:t xml:space="preserve">Mar 2022 – Dec 2023</w:t>
      </w:r>
    </w:p>
    <w:p>
      <w:pPr>
        <w:keepNext/>
        <w:spacing w:after="50"/>
      </w:pPr>
      <w:r>
        <w:rPr>
          <w:rFonts w:ascii="Calibri" w:cs="Calibri" w:eastAsia="Calibri" w:hAnsi="Calibri"/>
          <w:i/>
          <w:iCs/>
          <w:color w:val="3F3F3F"/>
          <w:sz w:val="19"/>
          <w:szCs w:val="19"/>
        </w:rPr>
        <w:t xml:space="preserve">Palong Ideal Institute</w:t>
      </w:r>
      <w:r>
        <w:rPr>
          <w:rFonts w:ascii="Calibri" w:cs="Calibri" w:eastAsia="Calibri" w:hAnsi="Calibri"/>
          <w:color w:val="6F6F6F"/>
          <w:sz w:val="19"/>
          <w:szCs w:val="19"/>
        </w:rPr>
        <w:t xml:space="preserve">  |  Rabeta, Ramu, Cox's Bazar</w:t>
      </w:r>
    </w:p>
    <w:p>
      <w:pPr>
        <w:pStyle w:val="ListParagraph"/>
        <w:numPr>
          <w:ilvl w:val="0"/>
          <w:numId w:val="2"/>
        </w:numPr>
        <w:spacing w:after="20" w:line="252"/>
      </w:pPr>
      <w:r>
        <w:rPr>
          <w:rFonts w:ascii="Calibri" w:cs="Calibri" w:eastAsia="Calibri" w:hAnsi="Calibri"/>
          <w:color w:val="3F3F3F"/>
          <w:sz w:val="19"/>
          <w:szCs w:val="19"/>
        </w:rPr>
        <w:t xml:space="preserve">Taught assigned classes and prepared daily, weekly and monthly student progress reports for school management.</w:t>
      </w:r>
    </w:p>
    <w:p>
      <w:pPr>
        <w:pStyle w:val="ListParagraph"/>
        <w:numPr>
          <w:ilvl w:val="0"/>
          <w:numId w:val="2"/>
        </w:numPr>
        <w:spacing w:after="20" w:line="252"/>
      </w:pPr>
      <w:r>
        <w:rPr>
          <w:rFonts w:ascii="Calibri" w:cs="Calibri" w:eastAsia="Calibri" w:hAnsi="Calibri"/>
          <w:color w:val="3F3F3F"/>
          <w:sz w:val="19"/>
          <w:szCs w:val="19"/>
        </w:rPr>
        <w:t xml:space="preserve">Organised regular meetings with teachers and guardians to discuss student progress, and represented the institute at inter-school events.</w:t>
      </w:r>
    </w:p>
    <w:p>
      <w:pPr>
        <w:pStyle w:val="ListParagraph"/>
        <w:numPr>
          <w:ilvl w:val="0"/>
          <w:numId w:val="2"/>
        </w:numPr>
        <w:spacing w:after="20" w:line="252"/>
      </w:pPr>
      <w:r>
        <w:rPr>
          <w:rFonts w:ascii="Calibri" w:cs="Calibri" w:eastAsia="Calibri" w:hAnsi="Calibri"/>
          <w:color w:val="3F3F3F"/>
          <w:sz w:val="19"/>
          <w:szCs w:val="19"/>
        </w:rPr>
        <w:t xml:space="preserve">Helped prepare the yearly academic calendar and class schedules, and managed teaching and learning materials.</w:t>
      </w:r>
    </w:p>
    <w:p>
      <w:pPr>
        <w:pStyle w:val="ListParagraph"/>
        <w:numPr>
          <w:ilvl w:val="0"/>
          <w:numId w:val="2"/>
        </w:numPr>
        <w:spacing w:after="20" w:line="252"/>
      </w:pPr>
      <w:r>
        <w:rPr>
          <w:rFonts w:ascii="Calibri" w:cs="Calibri" w:eastAsia="Calibri" w:hAnsi="Calibri"/>
          <w:color w:val="3F3F3F"/>
          <w:sz w:val="19"/>
          <w:szCs w:val="19"/>
        </w:rPr>
        <w:t xml:space="preserve">Organised cultural programmes and debate competitions, and gave guidance and counselling support to students facing academic or personal difficulties.</w:t>
      </w:r>
    </w:p>
    <w:p>
      <w:pPr>
        <w:keepNext/>
        <w:tabs>
          <w:tab w:val="right" w:pos="10466"/>
        </w:tabs>
        <w:spacing w:after="0" w:before="120"/>
      </w:pPr>
      <w:r>
        <w:rPr>
          <w:rFonts w:ascii="Calibri" w:cs="Calibri" w:eastAsia="Calibri" w:hAnsi="Calibri"/>
          <w:b/>
          <w:bCs/>
          <w:color w:val="1F3A5F"/>
          <w:sz w:val="22"/>
          <w:szCs w:val="22"/>
        </w:rPr>
        <w:t xml:space="preserve">Assistant Teacher</w:t>
      </w:r>
      <w:r>
        <w:tab/>
      </w:r>
      <w:r>
        <w:rPr>
          <w:rFonts w:ascii="Calibri" w:cs="Calibri" w:eastAsia="Calibri" w:hAnsi="Calibri"/>
          <w:b/>
          <w:bCs/>
          <w:color w:val="0E7C86"/>
          <w:sz w:val="19"/>
          <w:szCs w:val="19"/>
        </w:rPr>
        <w:t xml:space="preserve">Jan 2021 – Feb 2022</w:t>
      </w:r>
    </w:p>
    <w:p>
      <w:pPr>
        <w:keepNext/>
        <w:spacing w:after="50"/>
      </w:pPr>
      <w:r>
        <w:rPr>
          <w:rFonts w:ascii="Calibri" w:cs="Calibri" w:eastAsia="Calibri" w:hAnsi="Calibri"/>
          <w:i/>
          <w:iCs/>
          <w:color w:val="3F3F3F"/>
          <w:sz w:val="19"/>
          <w:szCs w:val="19"/>
        </w:rPr>
        <w:t xml:space="preserve">BRAC Learning Center</w:t>
      </w:r>
      <w:r>
        <w:rPr>
          <w:rFonts w:ascii="Calibri" w:cs="Calibri" w:eastAsia="Calibri" w:hAnsi="Calibri"/>
          <w:color w:val="6F6F6F"/>
          <w:sz w:val="19"/>
          <w:szCs w:val="19"/>
        </w:rPr>
        <w:t xml:space="preserve">  |  Ramu, Cox's Bazar</w:t>
      </w:r>
    </w:p>
    <w:p>
      <w:pPr>
        <w:pStyle w:val="ListParagraph"/>
        <w:numPr>
          <w:ilvl w:val="0"/>
          <w:numId w:val="2"/>
        </w:numPr>
        <w:spacing w:after="20" w:line="252"/>
      </w:pPr>
      <w:r>
        <w:rPr>
          <w:rFonts w:ascii="Calibri" w:cs="Calibri" w:eastAsia="Calibri" w:hAnsi="Calibri"/>
          <w:color w:val="3F3F3F"/>
          <w:sz w:val="19"/>
          <w:szCs w:val="19"/>
        </w:rPr>
        <w:t xml:space="preserve">Supported the lead teacher in delivering lesson plans and learning activities in line with BRAC's non-formal education approach.</w:t>
      </w:r>
    </w:p>
    <w:p>
      <w:pPr>
        <w:pStyle w:val="ListParagraph"/>
        <w:numPr>
          <w:ilvl w:val="0"/>
          <w:numId w:val="2"/>
        </w:numPr>
        <w:spacing w:after="20" w:line="252"/>
      </w:pPr>
      <w:r>
        <w:rPr>
          <w:rFonts w:ascii="Calibri" w:cs="Calibri" w:eastAsia="Calibri" w:hAnsi="Calibri"/>
          <w:color w:val="3F3F3F"/>
          <w:sz w:val="19"/>
          <w:szCs w:val="19"/>
        </w:rPr>
        <w:t xml:space="preserve">Monitored student performance, kept attendance records and supported grading and assessment.</w:t>
      </w:r>
    </w:p>
    <w:p>
      <w:pPr>
        <w:pStyle w:val="ListParagraph"/>
        <w:numPr>
          <w:ilvl w:val="0"/>
          <w:numId w:val="2"/>
        </w:numPr>
        <w:spacing w:after="20" w:line="252"/>
      </w:pPr>
      <w:r>
        <w:rPr>
          <w:rFonts w:ascii="Calibri" w:cs="Calibri" w:eastAsia="Calibri" w:hAnsi="Calibri"/>
          <w:color w:val="3F3F3F"/>
          <w:sz w:val="19"/>
          <w:szCs w:val="19"/>
        </w:rPr>
        <w:t xml:space="preserve">Gave one-to-one and small-group tutoring to students who needed extra support.</w:t>
      </w:r>
    </w:p>
    <w:p>
      <w:pPr>
        <w:keepNext/>
        <w:pBdr>
          <w:bottom w:val="single" w:color="0E7C86" w:sz="10" w:space="3"/>
        </w:pBdr>
        <w:spacing w:after="70" w:before="150"/>
      </w:pPr>
      <w:r>
        <w:rPr>
          <w:rFonts w:ascii="Calibri" w:cs="Calibri" w:eastAsia="Calibri" w:hAnsi="Calibri"/>
          <w:b/>
          <w:bCs/>
          <w:color w:val="1F3A5F"/>
          <w:spacing w:val="30"/>
          <w:sz w:val="23"/>
          <w:szCs w:val="23"/>
        </w:rPr>
        <w:t xml:space="preserve">EDUCATION</w:t>
      </w:r>
    </w:p>
    <w:p>
      <w:pPr>
        <w:keepNext/>
        <w:tabs>
          <w:tab w:val="right" w:pos="10466"/>
        </w:tabs>
        <w:spacing w:after="0" w:before="70"/>
      </w:pPr>
      <w:r>
        <w:rPr>
          <w:rFonts w:ascii="Calibri" w:cs="Calibri" w:eastAsia="Calibri" w:hAnsi="Calibri"/>
          <w:b/>
          <w:bCs/>
          <w:color w:val="1F3A5F"/>
          <w:sz w:val="21"/>
          <w:szCs w:val="21"/>
        </w:rPr>
        <w:t xml:space="preserve">Bachelor of Business Administration (Major in Accounting)</w:t>
      </w:r>
      <w:r>
        <w:tab/>
      </w:r>
      <w:r>
        <w:rPr>
          <w:rFonts w:ascii="Calibri" w:cs="Calibri" w:eastAsia="Calibri" w:hAnsi="Calibri"/>
          <w:b/>
          <w:bCs/>
          <w:color w:val="0E7C86"/>
          <w:sz w:val="19"/>
          <w:szCs w:val="19"/>
        </w:rPr>
        <w:t xml:space="preserve">2023</w:t>
      </w:r>
    </w:p>
    <w:p>
      <w:pPr>
        <w:spacing w:after="20"/>
      </w:pPr>
      <w:r>
        <w:rPr>
          <w:rFonts w:ascii="Calibri" w:cs="Calibri" w:eastAsia="Calibri" w:hAnsi="Calibri"/>
          <w:i/>
          <w:iCs/>
          <w:color w:val="3F3F3F"/>
          <w:sz w:val="19"/>
          <w:szCs w:val="19"/>
        </w:rPr>
        <w:t xml:space="preserve">Chittagong Independent University (CIU)</w:t>
      </w:r>
      <w:r>
        <w:rPr>
          <w:rFonts w:ascii="Calibri" w:cs="Calibri" w:eastAsia="Calibri" w:hAnsi="Calibri"/>
          <w:color w:val="6F6F6F"/>
          <w:sz w:val="19"/>
          <w:szCs w:val="19"/>
        </w:rPr>
        <w:t xml:space="preserve">  |  CGPA 3.94 out of 4.00</w:t>
      </w:r>
    </w:p>
    <w:p>
      <w:pPr>
        <w:keepNext/>
        <w:tabs>
          <w:tab w:val="right" w:pos="10466"/>
        </w:tabs>
        <w:spacing w:after="0" w:before="70"/>
      </w:pPr>
      <w:r>
        <w:rPr>
          <w:rFonts w:ascii="Calibri" w:cs="Calibri" w:eastAsia="Calibri" w:hAnsi="Calibri"/>
          <w:b/>
          <w:bCs/>
          <w:color w:val="1F3A5F"/>
          <w:sz w:val="21"/>
          <w:szCs w:val="21"/>
        </w:rPr>
        <w:t xml:space="preserve">Higher Secondary Certificate (Business Studies)</w:t>
      </w:r>
      <w:r>
        <w:tab/>
      </w:r>
      <w:r>
        <w:rPr>
          <w:rFonts w:ascii="Calibri" w:cs="Calibri" w:eastAsia="Calibri" w:hAnsi="Calibri"/>
          <w:b/>
          <w:bCs/>
          <w:color w:val="0E7C86"/>
          <w:sz w:val="19"/>
          <w:szCs w:val="19"/>
        </w:rPr>
        <w:t xml:space="preserve">2018</w:t>
      </w:r>
    </w:p>
    <w:p>
      <w:pPr>
        <w:spacing w:after="20"/>
      </w:pPr>
      <w:r>
        <w:rPr>
          <w:rFonts w:ascii="Calibri" w:cs="Calibri" w:eastAsia="Calibri" w:hAnsi="Calibri"/>
          <w:i/>
          <w:iCs/>
          <w:color w:val="3F3F3F"/>
          <w:sz w:val="19"/>
          <w:szCs w:val="19"/>
        </w:rPr>
        <w:t xml:space="preserve">Cox's Bazar Govt. Women College</w:t>
      </w:r>
      <w:r>
        <w:rPr>
          <w:rFonts w:ascii="Calibri" w:cs="Calibri" w:eastAsia="Calibri" w:hAnsi="Calibri"/>
          <w:color w:val="6F6F6F"/>
          <w:sz w:val="19"/>
          <w:szCs w:val="19"/>
        </w:rPr>
        <w:t xml:space="preserve">  |  GPA 3.93 out of 5.00</w:t>
      </w:r>
    </w:p>
    <w:p>
      <w:pPr>
        <w:keepNext/>
        <w:tabs>
          <w:tab w:val="right" w:pos="10466"/>
        </w:tabs>
        <w:spacing w:after="0" w:before="70"/>
      </w:pPr>
      <w:r>
        <w:rPr>
          <w:rFonts w:ascii="Calibri" w:cs="Calibri" w:eastAsia="Calibri" w:hAnsi="Calibri"/>
          <w:b/>
          <w:bCs/>
          <w:color w:val="1F3A5F"/>
          <w:sz w:val="21"/>
          <w:szCs w:val="21"/>
        </w:rPr>
        <w:t xml:space="preserve">Secondary School Certificate (Business Studies)</w:t>
      </w:r>
      <w:r>
        <w:tab/>
      </w:r>
      <w:r>
        <w:rPr>
          <w:rFonts w:ascii="Calibri" w:cs="Calibri" w:eastAsia="Calibri" w:hAnsi="Calibri"/>
          <w:b/>
          <w:bCs/>
          <w:color w:val="0E7C86"/>
          <w:sz w:val="19"/>
          <w:szCs w:val="19"/>
        </w:rPr>
        <w:t xml:space="preserve">2016</w:t>
      </w:r>
    </w:p>
    <w:p>
      <w:pPr>
        <w:spacing w:after="20"/>
      </w:pPr>
      <w:r>
        <w:rPr>
          <w:rFonts w:ascii="Calibri" w:cs="Calibri" w:eastAsia="Calibri" w:hAnsi="Calibri"/>
          <w:i/>
          <w:iCs/>
          <w:color w:val="3F3F3F"/>
          <w:sz w:val="19"/>
          <w:szCs w:val="19"/>
        </w:rPr>
        <w:t xml:space="preserve">Kishaloya Adarsha Girls High School, Chakaria</w:t>
      </w:r>
      <w:r>
        <w:rPr>
          <w:rFonts w:ascii="Calibri" w:cs="Calibri" w:eastAsia="Calibri" w:hAnsi="Calibri"/>
          <w:color w:val="6F6F6F"/>
          <w:sz w:val="19"/>
          <w:szCs w:val="19"/>
        </w:rPr>
        <w:t xml:space="preserve">  |  GPA 5.00 out of 5.00</w:t>
      </w:r>
    </w:p>
    <w:p>
      <w:pPr>
        <w:keepNext/>
        <w:pBdr>
          <w:bottom w:val="single" w:color="0E7C86" w:sz="10" w:space="3"/>
        </w:pBdr>
        <w:spacing w:after="70" w:before="150"/>
      </w:pPr>
      <w:r>
        <w:rPr>
          <w:rFonts w:ascii="Calibri" w:cs="Calibri" w:eastAsia="Calibri" w:hAnsi="Calibri"/>
          <w:b/>
          <w:bCs/>
          <w:color w:val="1F3A5F"/>
          <w:spacing w:val="30"/>
          <w:sz w:val="23"/>
          <w:szCs w:val="23"/>
        </w:rPr>
        <w:t xml:space="preserve">TRAINING AND CERTIFICATIONS</w:t>
      </w:r>
    </w:p>
    <w:tbl>
      <w:tblPr>
        <w:tblW w:type="dxa" w:w="10466"/>
        <w:tblBorders>
          <w:top w:val="none" w:color="FFFFFF" w:sz="0"/>
          <w:left w:val="none" w:color="FFFFFF" w:sz="0"/>
          <w:bottom w:val="none" w:color="FFFFFF" w:sz="0"/>
          <w:right w:val="none" w:color="FFFFFF" w:sz="0"/>
          <w:insideH w:val="none" w:color="FFFFFF" w:sz="0"/>
          <w:insideV w:val="none" w:color="FFFFFF" w:sz="0"/>
        </w:tblBorders>
      </w:tblPr>
      <w:tblGrid>
        <w:gridCol w:w="5700"/>
        <w:gridCol w:w="3066"/>
        <w:gridCol w:w="1700"/>
      </w:tblGrid>
      <w:tr>
        <w:trPr>
          <w:tblHeader/>
        </w:trPr>
        <w:tc>
          <w:tcPr>
            <w:tcW w:type="dxa" w:w="5700"/>
            <w:tcBorders>
              <w:top w:val="none" w:color="FFFFFF" w:sz="0"/>
              <w:left w:val="none" w:color="FFFFFF" w:sz="0"/>
              <w:bottom w:val="single" w:color="DCE9EA" w:sz="4"/>
              <w:right w:val="none" w:color="FFFFFF" w:sz="0"/>
            </w:tcBorders>
            <w:shd w:fill="1F3A5F" w:color="auto" w:val="clear"/>
            <w:tcMar>
              <w:top w:type="dxa" w:w="45"/>
              <w:left w:type="dxa" w:w="140"/>
              <w:bottom w:type="dxa" w:w="45"/>
              <w:right w:type="dxa" w:w="120"/>
            </w:tcMar>
          </w:tcPr>
          <w:p>
            <w:r>
              <w:rPr>
                <w:rFonts w:ascii="Calibri" w:cs="Calibri" w:eastAsia="Calibri" w:hAnsi="Calibri"/>
                <w:b/>
                <w:bCs/>
                <w:color w:val="FFFFFF"/>
                <w:sz w:val="18"/>
                <w:szCs w:val="18"/>
              </w:rPr>
              <w:t xml:space="preserve">Training / Certification</w:t>
            </w:r>
          </w:p>
        </w:tc>
        <w:tc>
          <w:tcPr>
            <w:tcW w:type="dxa" w:w="3066"/>
            <w:tcBorders>
              <w:top w:val="none" w:color="FFFFFF" w:sz="0"/>
              <w:left w:val="none" w:color="FFFFFF" w:sz="0"/>
              <w:bottom w:val="single" w:color="DCE9EA" w:sz="4"/>
              <w:right w:val="none" w:color="FFFFFF" w:sz="0"/>
            </w:tcBorders>
            <w:shd w:fill="1F3A5F" w:color="auto" w:val="clear"/>
            <w:tcMar>
              <w:top w:type="dxa" w:w="45"/>
              <w:left w:type="dxa" w:w="140"/>
              <w:bottom w:type="dxa" w:w="45"/>
              <w:right w:type="dxa" w:w="120"/>
            </w:tcMar>
          </w:tcPr>
          <w:p>
            <w:r>
              <w:rPr>
                <w:rFonts w:ascii="Calibri" w:cs="Calibri" w:eastAsia="Calibri" w:hAnsi="Calibri"/>
                <w:b/>
                <w:bCs/>
                <w:color w:val="FFFFFF"/>
                <w:sz w:val="18"/>
                <w:szCs w:val="18"/>
              </w:rPr>
              <w:t xml:space="preserve">Provider</w:t>
            </w:r>
          </w:p>
        </w:tc>
        <w:tc>
          <w:tcPr>
            <w:tcW w:type="dxa" w:w="1700"/>
            <w:tcBorders>
              <w:top w:val="none" w:color="FFFFFF" w:sz="0"/>
              <w:left w:val="none" w:color="FFFFFF" w:sz="0"/>
              <w:bottom w:val="single" w:color="DCE9EA" w:sz="4"/>
              <w:right w:val="none" w:color="FFFFFF" w:sz="0"/>
            </w:tcBorders>
            <w:shd w:fill="1F3A5F" w:color="auto" w:val="clear"/>
            <w:tcMar>
              <w:top w:type="dxa" w:w="45"/>
              <w:left w:type="dxa" w:w="140"/>
              <w:bottom w:type="dxa" w:w="45"/>
              <w:right w:type="dxa" w:w="120"/>
            </w:tcMar>
          </w:tcPr>
          <w:p>
            <w:r>
              <w:rPr>
                <w:rFonts w:ascii="Calibri" w:cs="Calibri" w:eastAsia="Calibri" w:hAnsi="Calibri"/>
                <w:b/>
                <w:bCs/>
                <w:color w:val="FFFFFF"/>
                <w:sz w:val="18"/>
                <w:szCs w:val="18"/>
              </w:rPr>
              <w:t xml:space="preserve">Year / Days</w:t>
            </w:r>
          </w:p>
        </w:tc>
      </w:tr>
      <w:tr>
        <w:trPr>
          <w:cantSplit/>
        </w:trPr>
        <w:tc>
          <w:tcPr>
            <w:tcW w:type="dxa" w:w="10466"/>
            <w:gridSpan w:val="3"/>
            <w:tcBorders>
              <w:top w:val="none" w:color="FFFFFF" w:sz="0"/>
              <w:left w:val="none" w:color="FFFFFF" w:sz="0"/>
              <w:bottom w:val="none" w:color="FFFFFF" w:sz="0"/>
              <w:right w:val="none" w:color="FFFFFF" w:sz="0"/>
            </w:tcBorders>
            <w:shd w:fill="E7F3F4" w:color="auto" w:val="clear"/>
            <w:tcMar>
              <w:top w:type="dxa" w:w="45"/>
              <w:left w:type="dxa" w:w="140"/>
              <w:bottom w:type="dxa" w:w="45"/>
              <w:right w:type="dxa" w:w="120"/>
            </w:tcMar>
          </w:tcPr>
          <w:p>
            <w:pPr>
              <w:keepNext/>
            </w:pPr>
            <w:r>
              <w:rPr>
                <w:rFonts w:ascii="Calibri" w:cs="Calibri" w:eastAsia="Calibri" w:hAnsi="Calibri"/>
                <w:b/>
                <w:bCs/>
                <w:color w:val="0E7C86"/>
                <w:sz w:val="19"/>
                <w:szCs w:val="19"/>
              </w:rPr>
              <w:t xml:space="preserve">Humanitarian Standards and Protection (online, certified)</w:t>
            </w:r>
          </w:p>
        </w:tc>
      </w:tr>
      <w:tr>
        <w:trPr>
          <w:cantSplit/>
        </w:trPr>
        <w:tc>
          <w:tcPr>
            <w:tcW w:type="dxa" w:w="5700"/>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3F3F3F"/>
                <w:sz w:val="18"/>
                <w:szCs w:val="18"/>
              </w:rPr>
              <w:t xml:space="preserve">Core Humanitarian Standard (CHS) on Quality and Accountability</w:t>
            </w:r>
          </w:p>
        </w:tc>
        <w:tc>
          <w:tcPr>
            <w:tcW w:type="dxa" w:w="3066"/>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6F6F6F"/>
                <w:sz w:val="18"/>
                <w:szCs w:val="18"/>
              </w:rPr>
              <w:t xml:space="preserve">Humanitarian Leadership Academy (Kaya)</w:t>
            </w:r>
          </w:p>
        </w:tc>
        <w:tc>
          <w:tcPr>
            <w:tcW w:type="dxa" w:w="1700"/>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6F6F6F"/>
                <w:sz w:val="18"/>
                <w:szCs w:val="18"/>
              </w:rPr>
              <w:t xml:space="preserve">2026</w:t>
            </w:r>
          </w:p>
        </w:tc>
      </w:tr>
      <w:tr>
        <w:trPr>
          <w:cantSplit/>
        </w:trPr>
        <w:tc>
          <w:tcPr>
            <w:tcW w:type="dxa" w:w="5700"/>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3F3F3F"/>
                <w:sz w:val="18"/>
                <w:szCs w:val="18"/>
              </w:rPr>
              <w:t xml:space="preserve">Prevention of Sexual Exploitation and Abuse (PSEA)</w:t>
            </w:r>
          </w:p>
        </w:tc>
        <w:tc>
          <w:tcPr>
            <w:tcW w:type="dxa" w:w="3066"/>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6F6F6F"/>
                <w:sz w:val="18"/>
                <w:szCs w:val="18"/>
              </w:rPr>
              <w:t xml:space="preserve">UNHCR (Kaya)</w:t>
            </w:r>
          </w:p>
        </w:tc>
        <w:tc>
          <w:tcPr>
            <w:tcW w:type="dxa" w:w="1700"/>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6F6F6F"/>
                <w:sz w:val="18"/>
                <w:szCs w:val="18"/>
              </w:rPr>
              <w:t xml:space="preserve">2026</w:t>
            </w:r>
          </w:p>
        </w:tc>
      </w:tr>
      <w:tr>
        <w:trPr>
          <w:cantSplit/>
        </w:trPr>
        <w:tc>
          <w:tcPr>
            <w:tcW w:type="dxa" w:w="5700"/>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3F3F3F"/>
                <w:sz w:val="18"/>
                <w:szCs w:val="18"/>
              </w:rPr>
              <w:t xml:space="preserve">Prevention of Sexual Exploitation and Abuse (PSEA), UN inter-agency course</w:t>
            </w:r>
          </w:p>
        </w:tc>
        <w:tc>
          <w:tcPr>
            <w:tcW w:type="dxa" w:w="3066"/>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6F6F6F"/>
                <w:sz w:val="18"/>
                <w:szCs w:val="18"/>
              </w:rPr>
              <w:t xml:space="preserve">DisasterReady</w:t>
            </w:r>
          </w:p>
        </w:tc>
        <w:tc>
          <w:tcPr>
            <w:tcW w:type="dxa" w:w="1700"/>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6F6F6F"/>
                <w:sz w:val="18"/>
                <w:szCs w:val="18"/>
              </w:rPr>
              <w:t xml:space="preserve">2026</w:t>
            </w:r>
          </w:p>
        </w:tc>
      </w:tr>
      <w:tr>
        <w:trPr>
          <w:cantSplit/>
        </w:trPr>
        <w:tc>
          <w:tcPr>
            <w:tcW w:type="dxa" w:w="10466"/>
            <w:gridSpan w:val="3"/>
            <w:tcBorders>
              <w:top w:val="none" w:color="FFFFFF" w:sz="0"/>
              <w:left w:val="none" w:color="FFFFFF" w:sz="0"/>
              <w:bottom w:val="none" w:color="FFFFFF" w:sz="0"/>
              <w:right w:val="none" w:color="FFFFFF" w:sz="0"/>
            </w:tcBorders>
            <w:shd w:fill="E7F3F4" w:color="auto" w:val="clear"/>
            <w:tcMar>
              <w:top w:type="dxa" w:w="45"/>
              <w:left w:type="dxa" w:w="140"/>
              <w:bottom w:type="dxa" w:w="45"/>
              <w:right w:type="dxa" w:w="120"/>
            </w:tcMar>
          </w:tcPr>
          <w:p>
            <w:pPr>
              <w:keepNext/>
            </w:pPr>
            <w:r>
              <w:rPr>
                <w:rFonts w:ascii="Calibri" w:cs="Calibri" w:eastAsia="Calibri" w:hAnsi="Calibri"/>
                <w:b/>
                <w:bCs/>
                <w:color w:val="0E7C86"/>
                <w:sz w:val="19"/>
                <w:szCs w:val="19"/>
              </w:rPr>
              <w:t xml:space="preserve">Field Operations and Safety (in-person)</w:t>
            </w:r>
          </w:p>
        </w:tc>
      </w:tr>
      <w:tr>
        <w:trPr>
          <w:cantSplit/>
        </w:trPr>
        <w:tc>
          <w:tcPr>
            <w:tcW w:type="dxa" w:w="5700"/>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3F3F3F"/>
                <w:sz w:val="18"/>
                <w:szCs w:val="18"/>
              </w:rPr>
              <w:t xml:space="preserve">Camp Coordination Training</w:t>
            </w:r>
          </w:p>
        </w:tc>
        <w:tc>
          <w:tcPr>
            <w:tcW w:type="dxa" w:w="3066"/>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6F6F6F"/>
                <w:sz w:val="18"/>
                <w:szCs w:val="18"/>
              </w:rPr>
              <w:t xml:space="preserve">CiC Office (Camp-in-Charge), Camp 8E, under RRRC</w:t>
            </w:r>
          </w:p>
        </w:tc>
        <w:tc>
          <w:tcPr>
            <w:tcW w:type="dxa" w:w="1700"/>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6F6F6F"/>
                <w:sz w:val="18"/>
                <w:szCs w:val="18"/>
              </w:rPr>
              <w:t xml:space="preserve">Jul 2026, 4 days</w:t>
            </w:r>
          </w:p>
        </w:tc>
      </w:tr>
      <w:tr>
        <w:trPr>
          <w:cantSplit/>
        </w:trPr>
        <w:tc>
          <w:tcPr>
            <w:tcW w:type="dxa" w:w="5700"/>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3F3F3F"/>
                <w:sz w:val="18"/>
                <w:szCs w:val="18"/>
              </w:rPr>
              <w:t xml:space="preserve">LPG Depot Safety</w:t>
            </w:r>
          </w:p>
        </w:tc>
        <w:tc>
          <w:tcPr>
            <w:tcW w:type="dxa" w:w="3066"/>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6F6F6F"/>
                <w:sz w:val="18"/>
                <w:szCs w:val="18"/>
              </w:rPr>
              <w:t xml:space="preserve">IOM, Ukhiya</w:t>
            </w:r>
          </w:p>
        </w:tc>
        <w:tc>
          <w:tcPr>
            <w:tcW w:type="dxa" w:w="1700"/>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6F6F6F"/>
                <w:sz w:val="18"/>
                <w:szCs w:val="18"/>
              </w:rPr>
              <w:t xml:space="preserve">2 days</w:t>
            </w:r>
          </w:p>
        </w:tc>
      </w:tr>
      <w:tr>
        <w:trPr>
          <w:cantSplit/>
        </w:trPr>
        <w:tc>
          <w:tcPr>
            <w:tcW w:type="dxa" w:w="5700"/>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3F3F3F"/>
                <w:sz w:val="18"/>
                <w:szCs w:val="18"/>
              </w:rPr>
              <w:t xml:space="preserve">LPG Distribution and Handling; Safe Use of LPG Cylinders and Stoves; Fire Safety and Accident Prevention; Shelter/NFI-related LPG Kit Usage</w:t>
            </w:r>
          </w:p>
        </w:tc>
        <w:tc>
          <w:tcPr>
            <w:tcW w:type="dxa" w:w="3066"/>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6F6F6F"/>
                <w:sz w:val="18"/>
                <w:szCs w:val="18"/>
              </w:rPr>
              <w:t xml:space="preserve">IOM, Ukhiya</w:t>
            </w:r>
          </w:p>
        </w:tc>
        <w:tc>
          <w:tcPr>
            <w:tcW w:type="dxa" w:w="1700"/>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6F6F6F"/>
                <w:sz w:val="18"/>
                <w:szCs w:val="18"/>
              </w:rPr>
              <w:t xml:space="preserve">1 day each</w:t>
            </w:r>
          </w:p>
        </w:tc>
      </w:tr>
      <w:tr>
        <w:trPr>
          <w:cantSplit/>
        </w:trPr>
        <w:tc>
          <w:tcPr>
            <w:tcW w:type="dxa" w:w="10466"/>
            <w:gridSpan w:val="3"/>
            <w:tcBorders>
              <w:top w:val="none" w:color="FFFFFF" w:sz="0"/>
              <w:left w:val="none" w:color="FFFFFF" w:sz="0"/>
              <w:bottom w:val="none" w:color="FFFFFF" w:sz="0"/>
              <w:right w:val="none" w:color="FFFFFF" w:sz="0"/>
            </w:tcBorders>
            <w:shd w:fill="E7F3F4" w:color="auto" w:val="clear"/>
            <w:tcMar>
              <w:top w:type="dxa" w:w="45"/>
              <w:left w:type="dxa" w:w="140"/>
              <w:bottom w:type="dxa" w:w="45"/>
              <w:right w:type="dxa" w:w="120"/>
            </w:tcMar>
          </w:tcPr>
          <w:p>
            <w:pPr>
              <w:keepNext/>
            </w:pPr>
            <w:r>
              <w:rPr>
                <w:rFonts w:ascii="Calibri" w:cs="Calibri" w:eastAsia="Calibri" w:hAnsi="Calibri"/>
                <w:b/>
                <w:bCs/>
                <w:color w:val="0E7C86"/>
                <w:sz w:val="19"/>
                <w:szCs w:val="19"/>
              </w:rPr>
              <w:t xml:space="preserve">Professional Certificates</w:t>
            </w:r>
          </w:p>
        </w:tc>
      </w:tr>
      <w:tr>
        <w:trPr>
          <w:cantSplit/>
        </w:trPr>
        <w:tc>
          <w:tcPr>
            <w:tcW w:type="dxa" w:w="5700"/>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3F3F3F"/>
                <w:sz w:val="18"/>
                <w:szCs w:val="18"/>
              </w:rPr>
              <w:t xml:space="preserve">Hospitality Management; Front Office Management (both NSDA-certified)</w:t>
            </w:r>
          </w:p>
        </w:tc>
        <w:tc>
          <w:tcPr>
            <w:tcW w:type="dxa" w:w="3066"/>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6F6F6F"/>
                <w:sz w:val="18"/>
                <w:szCs w:val="18"/>
              </w:rPr>
              <w:t xml:space="preserve">ISEC</w:t>
            </w:r>
          </w:p>
        </w:tc>
        <w:tc>
          <w:tcPr>
            <w:tcW w:type="dxa" w:w="1700"/>
            <w:tcBorders>
              <w:top w:val="none" w:color="FFFFFF" w:sz="0"/>
              <w:left w:val="none" w:color="FFFFFF" w:sz="0"/>
              <w:bottom w:val="single" w:color="DCE9EA" w:sz="4"/>
              <w:right w:val="none" w:color="FFFFFF" w:sz="0"/>
            </w:tcBorders>
            <w:shd w:fill="FFFFFF" w:color="auto" w:val="clear"/>
            <w:tcMar>
              <w:top w:type="dxa" w:w="45"/>
              <w:left w:type="dxa" w:w="140"/>
              <w:bottom w:type="dxa" w:w="45"/>
              <w:right w:type="dxa" w:w="120"/>
            </w:tcMar>
          </w:tcPr>
          <w:p>
            <w:r>
              <w:rPr>
                <w:rFonts w:ascii="Calibri" w:cs="Calibri" w:eastAsia="Calibri" w:hAnsi="Calibri"/>
                <w:color w:val="6F6F6F"/>
                <w:sz w:val="18"/>
                <w:szCs w:val="18"/>
              </w:rPr>
              <w:t xml:space="preserve">Certified</w:t>
            </w:r>
          </w:p>
        </w:tc>
      </w:tr>
    </w:tbl>
    <w:p>
      <w:pPr>
        <w:keepNext/>
        <w:pageBreakBefore/>
        <w:pBdr>
          <w:bottom w:val="single" w:color="0E7C86" w:sz="10" w:space="3"/>
        </w:pBdr>
        <w:spacing w:after="70" w:before="150"/>
      </w:pPr>
      <w:r>
        <w:rPr>
          <w:rFonts w:ascii="Calibri" w:cs="Calibri" w:eastAsia="Calibri" w:hAnsi="Calibri"/>
          <w:b/>
          <w:bCs/>
          <w:color w:val="1F3A5F"/>
          <w:spacing w:val="30"/>
          <w:sz w:val="23"/>
          <w:szCs w:val="23"/>
        </w:rPr>
        <w:t xml:space="preserve">VOLUNTEER EXPERIENCE AND EXTRA-CURRICULAR ACTIVITIES</w:t>
      </w:r>
    </w:p>
    <w:p>
      <w:pPr>
        <w:keepNext/>
        <w:tabs>
          <w:tab w:val="right" w:pos="10466"/>
        </w:tabs>
        <w:spacing w:after="0" w:before="120"/>
      </w:pPr>
      <w:r>
        <w:rPr>
          <w:rFonts w:ascii="Calibri" w:cs="Calibri" w:eastAsia="Calibri" w:hAnsi="Calibri"/>
          <w:b/>
          <w:bCs/>
          <w:color w:val="1F3A5F"/>
          <w:sz w:val="22"/>
          <w:szCs w:val="22"/>
        </w:rPr>
        <w:t xml:space="preserve">Flood Response Volunteer</w:t>
      </w:r>
      <w:r>
        <w:tab/>
      </w:r>
      <w:r>
        <w:rPr>
          <w:rFonts w:ascii="Calibri" w:cs="Calibri" w:eastAsia="Calibri" w:hAnsi="Calibri"/>
          <w:b/>
          <w:bCs/>
          <w:color w:val="0E7C86"/>
          <w:sz w:val="19"/>
          <w:szCs w:val="19"/>
        </w:rPr>
        <w:t xml:space="preserve">2022 – 2025</w:t>
      </w:r>
    </w:p>
    <w:p>
      <w:pPr>
        <w:keepNext/>
        <w:spacing w:after="50"/>
      </w:pPr>
      <w:r>
        <w:rPr>
          <w:rFonts w:ascii="Calibri" w:cs="Calibri" w:eastAsia="Calibri" w:hAnsi="Calibri"/>
          <w:i/>
          <w:iCs/>
          <w:color w:val="3F3F3F"/>
          <w:sz w:val="19"/>
          <w:szCs w:val="19"/>
        </w:rPr>
        <w:t xml:space="preserve">Bangladesh Red Crescent Society (BDRCS)</w:t>
      </w:r>
      <w:r>
        <w:rPr>
          <w:rFonts w:ascii="Calibri" w:cs="Calibri" w:eastAsia="Calibri" w:hAnsi="Calibri"/>
          <w:color w:val="6F6F6F"/>
          <w:sz w:val="19"/>
          <w:szCs w:val="19"/>
        </w:rPr>
        <w:t xml:space="preserve">  |  Cox's Bazar</w:t>
      </w:r>
    </w:p>
    <w:p>
      <w:pPr>
        <w:pStyle w:val="ListParagraph"/>
        <w:numPr>
          <w:ilvl w:val="0"/>
          <w:numId w:val="2"/>
        </w:numPr>
        <w:spacing w:after="20" w:line="252"/>
      </w:pPr>
      <w:r>
        <w:rPr>
          <w:rFonts w:ascii="Calibri" w:cs="Calibri" w:eastAsia="Calibri" w:hAnsi="Calibri"/>
          <w:color w:val="3F3F3F"/>
          <w:sz w:val="19"/>
          <w:szCs w:val="19"/>
        </w:rPr>
        <w:t xml:space="preserve">Volunteered in flood response activities in Cox's Bazar, supporting affected families during emergencies alongside Red Crescent teams.</w:t>
      </w:r>
    </w:p>
    <w:p>
      <w:pPr>
        <w:pStyle w:val="ListParagraph"/>
        <w:numPr>
          <w:ilvl w:val="0"/>
          <w:numId w:val="2"/>
        </w:numPr>
        <w:spacing w:after="20" w:line="252"/>
      </w:pPr>
      <w:r>
        <w:rPr>
          <w:rFonts w:ascii="Calibri" w:cs="Calibri" w:eastAsia="Calibri" w:hAnsi="Calibri"/>
          <w:color w:val="3F3F3F"/>
          <w:sz w:val="19"/>
          <w:szCs w:val="19"/>
        </w:rPr>
        <w:t xml:space="preserve">Gained practical emergency response experience and learned Red Crescent humanitarian principles in real field conditions.</w:t>
      </w:r>
    </w:p>
    <w:p>
      <w:pPr>
        <w:keepNext/>
        <w:tabs>
          <w:tab w:val="right" w:pos="10466"/>
        </w:tabs>
        <w:spacing w:after="0" w:before="120"/>
      </w:pPr>
      <w:r>
        <w:rPr>
          <w:rFonts w:ascii="Calibri" w:cs="Calibri" w:eastAsia="Calibri" w:hAnsi="Calibri"/>
          <w:b/>
          <w:bCs/>
          <w:color w:val="1F3A5F"/>
          <w:sz w:val="22"/>
          <w:szCs w:val="22"/>
        </w:rPr>
        <w:t xml:space="preserve">Member and Voluntary Blood Donor</w:t>
      </w:r>
      <w:r>
        <w:tab/>
      </w:r>
      <w:r>
        <w:rPr>
          <w:rFonts w:ascii="Calibri" w:cs="Calibri" w:eastAsia="Calibri" w:hAnsi="Calibri"/>
          <w:b/>
          <w:bCs/>
          <w:color w:val="0E7C86"/>
          <w:sz w:val="19"/>
          <w:szCs w:val="19"/>
        </w:rPr>
        <w:t xml:space="preserve">2022 – Present</w:t>
      </w:r>
    </w:p>
    <w:p>
      <w:pPr>
        <w:keepNext/>
        <w:spacing w:after="50"/>
      </w:pPr>
      <w:r>
        <w:rPr>
          <w:rFonts w:ascii="Calibri" w:cs="Calibri" w:eastAsia="Calibri" w:hAnsi="Calibri"/>
          <w:i/>
          <w:iCs/>
          <w:color w:val="3F3F3F"/>
          <w:sz w:val="19"/>
          <w:szCs w:val="19"/>
        </w:rPr>
        <w:t xml:space="preserve">Cox's Bazar Blood Donating Club (CBDC)</w:t>
      </w:r>
      <w:r>
        <w:rPr>
          <w:rFonts w:ascii="Calibri" w:cs="Calibri" w:eastAsia="Calibri" w:hAnsi="Calibri"/>
          <w:color w:val="6F6F6F"/>
          <w:sz w:val="19"/>
          <w:szCs w:val="19"/>
        </w:rPr>
        <w:t xml:space="preserve">  |  Cox's Bazar</w:t>
      </w:r>
    </w:p>
    <w:p>
      <w:pPr>
        <w:pStyle w:val="ListParagraph"/>
        <w:numPr>
          <w:ilvl w:val="0"/>
          <w:numId w:val="2"/>
        </w:numPr>
        <w:spacing w:after="20" w:line="252"/>
      </w:pPr>
      <w:r>
        <w:rPr>
          <w:rFonts w:ascii="Calibri" w:cs="Calibri" w:eastAsia="Calibri" w:hAnsi="Calibri"/>
          <w:color w:val="3F3F3F"/>
          <w:sz w:val="19"/>
          <w:szCs w:val="19"/>
        </w:rPr>
        <w:t xml:space="preserve">Proud member of CBDC, donating blood voluntarily and helping connect patients in need with donors in the local community.</w:t>
      </w:r>
    </w:p>
    <w:p>
      <w:pPr>
        <w:keepNext/>
        <w:pBdr>
          <w:bottom w:val="single" w:color="0E7C86" w:sz="10" w:space="3"/>
        </w:pBdr>
        <w:spacing w:after="70" w:before="150"/>
      </w:pPr>
      <w:r>
        <w:rPr>
          <w:rFonts w:ascii="Calibri" w:cs="Calibri" w:eastAsia="Calibri" w:hAnsi="Calibri"/>
          <w:b/>
          <w:bCs/>
          <w:color w:val="1F3A5F"/>
          <w:spacing w:val="30"/>
          <w:sz w:val="23"/>
          <w:szCs w:val="23"/>
        </w:rPr>
        <w:t xml:space="preserve">CORE SKILLS</w:t>
      </w:r>
    </w:p>
    <w:tbl>
      <w:tblPr>
        <w:tblW w:type="dxa" w:w="10466"/>
        <w:tblBorders>
          <w:top w:val="none" w:color="FFFFFF" w:sz="0"/>
          <w:left w:val="none" w:color="FFFFFF" w:sz="0"/>
          <w:bottom w:val="none" w:color="FFFFFF" w:sz="0"/>
          <w:right w:val="none" w:color="FFFFFF" w:sz="0"/>
          <w:insideH w:val="none" w:color="FFFFFF" w:sz="0"/>
          <w:insideV w:val="none" w:color="FFFFFF" w:sz="0"/>
        </w:tblBorders>
      </w:tblPr>
      <w:tblGrid>
        <w:gridCol w:w="2300"/>
        <w:gridCol w:w="8166"/>
      </w:tblGrid>
      <w:tr>
        <w:trPr>
          <w:cantSplit/>
        </w:trPr>
        <w:tc>
          <w:tcPr>
            <w:tcW w:type="dxa" w:w="2300"/>
            <w:tcBorders>
              <w:top w:val="none" w:color="FFFFFF" w:sz="0"/>
              <w:left w:val="none" w:color="FFFFFF" w:sz="0"/>
              <w:bottom w:val="none" w:color="FFFFFF" w:sz="0"/>
              <w:right w:val="none" w:color="FFFFFF" w:sz="0"/>
            </w:tcBorders>
            <w:shd w:fill="E7F3F4" w:color="auto" w:val="clear"/>
            <w:tcMar>
              <w:top w:type="dxa" w:w="45"/>
              <w:left w:type="dxa" w:w="140"/>
              <w:bottom w:type="dxa" w:w="45"/>
              <w:right w:type="dxa" w:w="120"/>
            </w:tcMar>
            <w:vAlign w:val="center"/>
          </w:tcPr>
          <w:p>
            <w:r>
              <w:rPr>
                <w:rFonts w:ascii="Calibri" w:cs="Calibri" w:eastAsia="Calibri" w:hAnsi="Calibri"/>
                <w:b/>
                <w:bCs/>
                <w:color w:val="1F3A5F"/>
                <w:sz w:val="18"/>
                <w:szCs w:val="18"/>
              </w:rPr>
              <w:t xml:space="preserve">Field Operations</w:t>
            </w:r>
          </w:p>
        </w:tc>
        <w:tc>
          <w:tcPr>
            <w:tcW w:type="dxa" w:w="8166"/>
            <w:tcBorders>
              <w:top w:val="none" w:color="FFFFFF" w:sz="0"/>
              <w:left w:val="none" w:color="FFFFFF" w:sz="0"/>
              <w:bottom w:val="single" w:color="DCE9EA" w:sz="4"/>
              <w:right w:val="none" w:color="FFFFFF" w:sz="0"/>
            </w:tcBorders>
            <w:tcMar>
              <w:top w:type="dxa" w:w="45"/>
              <w:left w:type="dxa" w:w="160"/>
              <w:bottom w:type="dxa" w:w="45"/>
              <w:right w:type="dxa" w:w="120"/>
            </w:tcMar>
            <w:vAlign w:val="center"/>
          </w:tcPr>
          <w:p>
            <w:r>
              <w:rPr>
                <w:rFonts w:ascii="Calibri" w:cs="Calibri" w:eastAsia="Calibri" w:hAnsi="Calibri"/>
                <w:color w:val="3F3F3F"/>
                <w:sz w:val="18"/>
                <w:szCs w:val="18"/>
              </w:rPr>
              <w:t xml:space="preserve">Distribution planning and management, beneficiary verification, crowd and queue management, team supervision, field coordination, LPG and fire safety at distribution points</w:t>
            </w:r>
          </w:p>
        </w:tc>
      </w:tr>
      <w:tr>
        <w:trPr>
          <w:cantSplit/>
        </w:trPr>
        <w:tc>
          <w:tcPr>
            <w:tcW w:type="dxa" w:w="2300"/>
            <w:tcBorders>
              <w:top w:val="none" w:color="FFFFFF" w:sz="0"/>
              <w:left w:val="none" w:color="FFFFFF" w:sz="0"/>
              <w:bottom w:val="none" w:color="FFFFFF" w:sz="0"/>
              <w:right w:val="none" w:color="FFFFFF" w:sz="0"/>
            </w:tcBorders>
            <w:shd w:fill="E7F3F4" w:color="auto" w:val="clear"/>
            <w:tcMar>
              <w:top w:type="dxa" w:w="45"/>
              <w:left w:type="dxa" w:w="140"/>
              <w:bottom w:type="dxa" w:w="45"/>
              <w:right w:type="dxa" w:w="120"/>
            </w:tcMar>
            <w:vAlign w:val="center"/>
          </w:tcPr>
          <w:p>
            <w:r>
              <w:rPr>
                <w:rFonts w:ascii="Calibri" w:cs="Calibri" w:eastAsia="Calibri" w:hAnsi="Calibri"/>
                <w:b/>
                <w:bCs/>
                <w:color w:val="1F3A5F"/>
                <w:sz w:val="18"/>
                <w:szCs w:val="18"/>
              </w:rPr>
              <w:t xml:space="preserve">Accountability &amp; Protection</w:t>
            </w:r>
          </w:p>
        </w:tc>
        <w:tc>
          <w:tcPr>
            <w:tcW w:type="dxa" w:w="8166"/>
            <w:tcBorders>
              <w:top w:val="none" w:color="FFFFFF" w:sz="0"/>
              <w:left w:val="none" w:color="FFFFFF" w:sz="0"/>
              <w:bottom w:val="single" w:color="DCE9EA" w:sz="4"/>
              <w:right w:val="none" w:color="FFFFFF" w:sz="0"/>
            </w:tcBorders>
            <w:tcMar>
              <w:top w:type="dxa" w:w="45"/>
              <w:left w:type="dxa" w:w="160"/>
              <w:bottom w:type="dxa" w:w="45"/>
              <w:right w:type="dxa" w:w="120"/>
            </w:tcMar>
            <w:vAlign w:val="center"/>
          </w:tcPr>
          <w:p>
            <w:r>
              <w:rPr>
                <w:rFonts w:ascii="Calibri" w:cs="Calibri" w:eastAsia="Calibri" w:hAnsi="Calibri"/>
                <w:color w:val="3F3F3F"/>
                <w:sz w:val="18"/>
                <w:szCs w:val="18"/>
              </w:rPr>
              <w:t xml:space="preserve">Accountability to Affected People (AAP), Complaint and Feedback Mechanism (CFM), PSEA, Core Humanitarian Standard, confidentiality, safe referrals</w:t>
            </w:r>
          </w:p>
        </w:tc>
      </w:tr>
      <w:tr>
        <w:trPr>
          <w:cantSplit/>
        </w:trPr>
        <w:tc>
          <w:tcPr>
            <w:tcW w:type="dxa" w:w="2300"/>
            <w:tcBorders>
              <w:top w:val="none" w:color="FFFFFF" w:sz="0"/>
              <w:left w:val="none" w:color="FFFFFF" w:sz="0"/>
              <w:bottom w:val="none" w:color="FFFFFF" w:sz="0"/>
              <w:right w:val="none" w:color="FFFFFF" w:sz="0"/>
            </w:tcBorders>
            <w:shd w:fill="E7F3F4" w:color="auto" w:val="clear"/>
            <w:tcMar>
              <w:top w:type="dxa" w:w="45"/>
              <w:left w:type="dxa" w:w="140"/>
              <w:bottom w:type="dxa" w:w="45"/>
              <w:right w:type="dxa" w:w="120"/>
            </w:tcMar>
            <w:vAlign w:val="center"/>
          </w:tcPr>
          <w:p>
            <w:r>
              <w:rPr>
                <w:rFonts w:ascii="Calibri" w:cs="Calibri" w:eastAsia="Calibri" w:hAnsi="Calibri"/>
                <w:b/>
                <w:bCs/>
                <w:color w:val="1F3A5F"/>
                <w:sz w:val="18"/>
                <w:szCs w:val="18"/>
              </w:rPr>
              <w:t xml:space="preserve">Data Collection</w:t>
            </w:r>
          </w:p>
        </w:tc>
        <w:tc>
          <w:tcPr>
            <w:tcW w:type="dxa" w:w="8166"/>
            <w:tcBorders>
              <w:top w:val="none" w:color="FFFFFF" w:sz="0"/>
              <w:left w:val="none" w:color="FFFFFF" w:sz="0"/>
              <w:bottom w:val="single" w:color="DCE9EA" w:sz="4"/>
              <w:right w:val="none" w:color="FFFFFF" w:sz="0"/>
            </w:tcBorders>
            <w:tcMar>
              <w:top w:type="dxa" w:w="45"/>
              <w:left w:type="dxa" w:w="160"/>
              <w:bottom w:type="dxa" w:w="45"/>
              <w:right w:type="dxa" w:w="120"/>
            </w:tcMar>
            <w:vAlign w:val="center"/>
          </w:tcPr>
          <w:p>
            <w:r>
              <w:rPr>
                <w:rFonts w:ascii="Calibri" w:cs="Calibri" w:eastAsia="Calibri" w:hAnsi="Calibri"/>
                <w:color w:val="3F3F3F"/>
                <w:sz w:val="18"/>
                <w:szCs w:val="18"/>
              </w:rPr>
              <w:t xml:space="preserve">KoboCollect / KoboToolbox (several field surveys), GDT (Global Distribution Tool), beneficiary records, distribution tracking, accurate data entry</w:t>
            </w:r>
          </w:p>
        </w:tc>
      </w:tr>
      <w:tr>
        <w:trPr>
          <w:cantSplit/>
        </w:trPr>
        <w:tc>
          <w:tcPr>
            <w:tcW w:type="dxa" w:w="2300"/>
            <w:tcBorders>
              <w:top w:val="none" w:color="FFFFFF" w:sz="0"/>
              <w:left w:val="none" w:color="FFFFFF" w:sz="0"/>
              <w:bottom w:val="none" w:color="FFFFFF" w:sz="0"/>
              <w:right w:val="none" w:color="FFFFFF" w:sz="0"/>
            </w:tcBorders>
            <w:shd w:fill="E7F3F4" w:color="auto" w:val="clear"/>
            <w:tcMar>
              <w:top w:type="dxa" w:w="45"/>
              <w:left w:type="dxa" w:w="140"/>
              <w:bottom w:type="dxa" w:w="45"/>
              <w:right w:type="dxa" w:w="120"/>
            </w:tcMar>
            <w:vAlign w:val="center"/>
          </w:tcPr>
          <w:p>
            <w:r>
              <w:rPr>
                <w:rFonts w:ascii="Calibri" w:cs="Calibri" w:eastAsia="Calibri" w:hAnsi="Calibri"/>
                <w:b/>
                <w:bCs/>
                <w:color w:val="1F3A5F"/>
                <w:sz w:val="18"/>
                <w:szCs w:val="18"/>
              </w:rPr>
              <w:t xml:space="preserve">MS Office (Advanced)</w:t>
            </w:r>
          </w:p>
        </w:tc>
        <w:tc>
          <w:tcPr>
            <w:tcW w:type="dxa" w:w="8166"/>
            <w:tcBorders>
              <w:top w:val="none" w:color="FFFFFF" w:sz="0"/>
              <w:left w:val="none" w:color="FFFFFF" w:sz="0"/>
              <w:bottom w:val="single" w:color="DCE9EA" w:sz="4"/>
              <w:right w:val="none" w:color="FFFFFF" w:sz="0"/>
            </w:tcBorders>
            <w:tcMar>
              <w:top w:type="dxa" w:w="45"/>
              <w:left w:type="dxa" w:w="160"/>
              <w:bottom w:type="dxa" w:w="45"/>
              <w:right w:type="dxa" w:w="120"/>
            </w:tcMar>
            <w:vAlign w:val="center"/>
          </w:tcPr>
          <w:p>
            <w:r>
              <w:rPr>
                <w:rFonts w:ascii="Calibri" w:cs="Calibri" w:eastAsia="Calibri" w:hAnsi="Calibri"/>
                <w:color w:val="3F3F3F"/>
                <w:sz w:val="18"/>
                <w:szCs w:val="18"/>
              </w:rPr>
              <w:t xml:space="preserve">MS Excel for daily reporting and data tracking (formulas, sorting, filtering, summary tables); MS Word for reports, letters and formatted documents; MS PowerPoint for presentations</w:t>
            </w:r>
          </w:p>
        </w:tc>
      </w:tr>
      <w:tr>
        <w:trPr>
          <w:cantSplit/>
        </w:trPr>
        <w:tc>
          <w:tcPr>
            <w:tcW w:type="dxa" w:w="2300"/>
            <w:tcBorders>
              <w:top w:val="none" w:color="FFFFFF" w:sz="0"/>
              <w:left w:val="none" w:color="FFFFFF" w:sz="0"/>
              <w:bottom w:val="none" w:color="FFFFFF" w:sz="0"/>
              <w:right w:val="none" w:color="FFFFFF" w:sz="0"/>
            </w:tcBorders>
            <w:shd w:fill="E7F3F4" w:color="auto" w:val="clear"/>
            <w:tcMar>
              <w:top w:type="dxa" w:w="45"/>
              <w:left w:type="dxa" w:w="140"/>
              <w:bottom w:type="dxa" w:w="45"/>
              <w:right w:type="dxa" w:w="120"/>
            </w:tcMar>
            <w:vAlign w:val="center"/>
          </w:tcPr>
          <w:p>
            <w:r>
              <w:rPr>
                <w:rFonts w:ascii="Calibri" w:cs="Calibri" w:eastAsia="Calibri" w:hAnsi="Calibri"/>
                <w:b/>
                <w:bCs/>
                <w:color w:val="1F3A5F"/>
                <w:sz w:val="18"/>
                <w:szCs w:val="18"/>
              </w:rPr>
              <w:t xml:space="preserve">Google Workspace</w:t>
            </w:r>
          </w:p>
        </w:tc>
        <w:tc>
          <w:tcPr>
            <w:tcW w:type="dxa" w:w="8166"/>
            <w:tcBorders>
              <w:top w:val="none" w:color="FFFFFF" w:sz="0"/>
              <w:left w:val="none" w:color="FFFFFF" w:sz="0"/>
              <w:bottom w:val="single" w:color="DCE9EA" w:sz="4"/>
              <w:right w:val="none" w:color="FFFFFF" w:sz="0"/>
            </w:tcBorders>
            <w:tcMar>
              <w:top w:type="dxa" w:w="45"/>
              <w:left w:type="dxa" w:w="160"/>
              <w:bottom w:type="dxa" w:w="45"/>
              <w:right w:type="dxa" w:w="120"/>
            </w:tcMar>
            <w:vAlign w:val="center"/>
          </w:tcPr>
          <w:p>
            <w:r>
              <w:rPr>
                <w:rFonts w:ascii="Calibri" w:cs="Calibri" w:eastAsia="Calibri" w:hAnsi="Calibri"/>
                <w:color w:val="3F3F3F"/>
                <w:sz w:val="18"/>
                <w:szCs w:val="18"/>
              </w:rPr>
              <w:t xml:space="preserve">Google Sheets, Docs, Forms and Drive for shared trackers, online forms and team files</w:t>
            </w:r>
          </w:p>
        </w:tc>
      </w:tr>
      <w:tr>
        <w:trPr>
          <w:cantSplit/>
        </w:trPr>
        <w:tc>
          <w:tcPr>
            <w:tcW w:type="dxa" w:w="2300"/>
            <w:tcBorders>
              <w:top w:val="none" w:color="FFFFFF" w:sz="0"/>
              <w:left w:val="none" w:color="FFFFFF" w:sz="0"/>
              <w:bottom w:val="none" w:color="FFFFFF" w:sz="0"/>
              <w:right w:val="none" w:color="FFFFFF" w:sz="0"/>
            </w:tcBorders>
            <w:shd w:fill="E7F3F4" w:color="auto" w:val="clear"/>
            <w:tcMar>
              <w:top w:type="dxa" w:w="45"/>
              <w:left w:type="dxa" w:w="140"/>
              <w:bottom w:type="dxa" w:w="45"/>
              <w:right w:type="dxa" w:w="120"/>
            </w:tcMar>
            <w:vAlign w:val="center"/>
          </w:tcPr>
          <w:p>
            <w:r>
              <w:rPr>
                <w:rFonts w:ascii="Calibri" w:cs="Calibri" w:eastAsia="Calibri" w:hAnsi="Calibri"/>
                <w:b/>
                <w:bCs/>
                <w:color w:val="1F3A5F"/>
                <w:sz w:val="18"/>
                <w:szCs w:val="18"/>
              </w:rPr>
              <w:t xml:space="preserve">Communication Tools</w:t>
            </w:r>
          </w:p>
        </w:tc>
        <w:tc>
          <w:tcPr>
            <w:tcW w:type="dxa" w:w="8166"/>
            <w:tcBorders>
              <w:top w:val="none" w:color="FFFFFF" w:sz="0"/>
              <w:left w:val="none" w:color="FFFFFF" w:sz="0"/>
              <w:bottom w:val="single" w:color="DCE9EA" w:sz="4"/>
              <w:right w:val="none" w:color="FFFFFF" w:sz="0"/>
            </w:tcBorders>
            <w:tcMar>
              <w:top w:type="dxa" w:w="45"/>
              <w:left w:type="dxa" w:w="160"/>
              <w:bottom w:type="dxa" w:w="45"/>
              <w:right w:type="dxa" w:w="120"/>
            </w:tcMar>
            <w:vAlign w:val="center"/>
          </w:tcPr>
          <w:p>
            <w:r>
              <w:rPr>
                <w:rFonts w:ascii="Calibri" w:cs="Calibri" w:eastAsia="Calibri" w:hAnsi="Calibri"/>
                <w:color w:val="3F3F3F"/>
                <w:sz w:val="18"/>
                <w:szCs w:val="18"/>
              </w:rPr>
              <w:t xml:space="preserve">Outlook, Microsoft Teams and Zoom (daily use in current role)</w:t>
            </w:r>
          </w:p>
        </w:tc>
      </w:tr>
      <w:tr>
        <w:trPr>
          <w:cantSplit/>
        </w:trPr>
        <w:tc>
          <w:tcPr>
            <w:tcW w:type="dxa" w:w="2300"/>
            <w:tcBorders>
              <w:top w:val="none" w:color="FFFFFF" w:sz="0"/>
              <w:left w:val="none" w:color="FFFFFF" w:sz="0"/>
              <w:bottom w:val="none" w:color="FFFFFF" w:sz="0"/>
              <w:right w:val="none" w:color="FFFFFF" w:sz="0"/>
            </w:tcBorders>
            <w:shd w:fill="E7F3F4" w:color="auto" w:val="clear"/>
            <w:tcMar>
              <w:top w:type="dxa" w:w="45"/>
              <w:left w:type="dxa" w:w="140"/>
              <w:bottom w:type="dxa" w:w="45"/>
              <w:right w:type="dxa" w:w="120"/>
            </w:tcMar>
            <w:vAlign w:val="center"/>
          </w:tcPr>
          <w:p>
            <w:r>
              <w:rPr>
                <w:rFonts w:ascii="Calibri" w:cs="Calibri" w:eastAsia="Calibri" w:hAnsi="Calibri"/>
                <w:b/>
                <w:bCs/>
                <w:color w:val="1F3A5F"/>
                <w:sz w:val="18"/>
                <w:szCs w:val="18"/>
              </w:rPr>
              <w:t xml:space="preserve">Professional Writing</w:t>
            </w:r>
          </w:p>
        </w:tc>
        <w:tc>
          <w:tcPr>
            <w:tcW w:type="dxa" w:w="8166"/>
            <w:tcBorders>
              <w:top w:val="none" w:color="FFFFFF" w:sz="0"/>
              <w:left w:val="none" w:color="FFFFFF" w:sz="0"/>
              <w:bottom w:val="single" w:color="DCE9EA" w:sz="4"/>
              <w:right w:val="none" w:color="FFFFFF" w:sz="0"/>
            </w:tcBorders>
            <w:tcMar>
              <w:top w:type="dxa" w:w="45"/>
              <w:left w:type="dxa" w:w="160"/>
              <w:bottom w:type="dxa" w:w="45"/>
              <w:right w:type="dxa" w:w="120"/>
            </w:tcMar>
            <w:vAlign w:val="center"/>
          </w:tcPr>
          <w:p>
            <w:r>
              <w:rPr>
                <w:rFonts w:ascii="Calibri" w:cs="Calibri" w:eastAsia="Calibri" w:hAnsi="Calibri"/>
                <w:color w:val="3F3F3F"/>
                <w:sz w:val="18"/>
                <w:szCs w:val="18"/>
              </w:rPr>
              <w:t xml:space="preserve">Meeting minutes, professional emails, daily and monthly reports, official correspondence</w:t>
            </w:r>
          </w:p>
        </w:tc>
      </w:tr>
      <w:tr>
        <w:trPr>
          <w:cantSplit/>
        </w:trPr>
        <w:tc>
          <w:tcPr>
            <w:tcW w:type="dxa" w:w="2300"/>
            <w:tcBorders>
              <w:top w:val="none" w:color="FFFFFF" w:sz="0"/>
              <w:left w:val="none" w:color="FFFFFF" w:sz="0"/>
              <w:bottom w:val="none" w:color="FFFFFF" w:sz="0"/>
              <w:right w:val="none" w:color="FFFFFF" w:sz="0"/>
            </w:tcBorders>
            <w:shd w:fill="E7F3F4" w:color="auto" w:val="clear"/>
            <w:tcMar>
              <w:top w:type="dxa" w:w="45"/>
              <w:left w:type="dxa" w:w="140"/>
              <w:bottom w:type="dxa" w:w="45"/>
              <w:right w:type="dxa" w:w="120"/>
            </w:tcMar>
            <w:vAlign w:val="center"/>
          </w:tcPr>
          <w:p>
            <w:r>
              <w:rPr>
                <w:rFonts w:ascii="Calibri" w:cs="Calibri" w:eastAsia="Calibri" w:hAnsi="Calibri"/>
                <w:b/>
                <w:bCs/>
                <w:color w:val="1F3A5F"/>
                <w:sz w:val="18"/>
                <w:szCs w:val="18"/>
              </w:rPr>
              <w:t xml:space="preserve">Typing</w:t>
            </w:r>
          </w:p>
        </w:tc>
        <w:tc>
          <w:tcPr>
            <w:tcW w:type="dxa" w:w="8166"/>
            <w:tcBorders>
              <w:top w:val="none" w:color="FFFFFF" w:sz="0"/>
              <w:left w:val="none" w:color="FFFFFF" w:sz="0"/>
              <w:bottom w:val="single" w:color="DCE9EA" w:sz="4"/>
              <w:right w:val="none" w:color="FFFFFF" w:sz="0"/>
            </w:tcBorders>
            <w:tcMar>
              <w:top w:type="dxa" w:w="45"/>
              <w:left w:type="dxa" w:w="160"/>
              <w:bottom w:type="dxa" w:w="45"/>
              <w:right w:type="dxa" w:w="120"/>
            </w:tcMar>
            <w:vAlign w:val="center"/>
          </w:tcPr>
          <w:p>
            <w:r>
              <w:rPr>
                <w:rFonts w:ascii="Calibri" w:cs="Calibri" w:eastAsia="Calibri" w:hAnsi="Calibri"/>
                <w:color w:val="3F3F3F"/>
                <w:sz w:val="18"/>
                <w:szCs w:val="18"/>
              </w:rPr>
              <w:t xml:space="preserve">Fast and accurate Bangla (Avro / Bijoy) and English typing</w:t>
            </w:r>
          </w:p>
        </w:tc>
      </w:tr>
      <w:tr>
        <w:trPr>
          <w:cantSplit/>
        </w:trPr>
        <w:tc>
          <w:tcPr>
            <w:tcW w:type="dxa" w:w="2300"/>
            <w:tcBorders>
              <w:top w:val="none" w:color="FFFFFF" w:sz="0"/>
              <w:left w:val="none" w:color="FFFFFF" w:sz="0"/>
              <w:bottom w:val="none" w:color="FFFFFF" w:sz="0"/>
              <w:right w:val="none" w:color="FFFFFF" w:sz="0"/>
            </w:tcBorders>
            <w:shd w:fill="E7F3F4" w:color="auto" w:val="clear"/>
            <w:tcMar>
              <w:top w:type="dxa" w:w="45"/>
              <w:left w:type="dxa" w:w="140"/>
              <w:bottom w:type="dxa" w:w="45"/>
              <w:right w:type="dxa" w:w="120"/>
            </w:tcMar>
            <w:vAlign w:val="center"/>
          </w:tcPr>
          <w:p>
            <w:r>
              <w:rPr>
                <w:rFonts w:ascii="Calibri" w:cs="Calibri" w:eastAsia="Calibri" w:hAnsi="Calibri"/>
                <w:b/>
                <w:bCs/>
                <w:color w:val="1F3A5F"/>
                <w:sz w:val="18"/>
                <w:szCs w:val="18"/>
              </w:rPr>
              <w:t xml:space="preserve">Finance &amp; Admin</w:t>
            </w:r>
          </w:p>
        </w:tc>
        <w:tc>
          <w:tcPr>
            <w:tcW w:type="dxa" w:w="8166"/>
            <w:tcBorders>
              <w:top w:val="none" w:color="FFFFFF" w:sz="0"/>
              <w:left w:val="none" w:color="FFFFFF" w:sz="0"/>
              <w:bottom w:val="single" w:color="DCE9EA" w:sz="4"/>
              <w:right w:val="none" w:color="FFFFFF" w:sz="0"/>
            </w:tcBorders>
            <w:tcMar>
              <w:top w:type="dxa" w:w="45"/>
              <w:left w:type="dxa" w:w="160"/>
              <w:bottom w:type="dxa" w:w="45"/>
              <w:right w:type="dxa" w:w="120"/>
            </w:tcMar>
            <w:vAlign w:val="center"/>
          </w:tcPr>
          <w:p>
            <w:r>
              <w:rPr>
                <w:rFonts w:ascii="Calibri" w:cs="Calibri" w:eastAsia="Calibri" w:hAnsi="Calibri"/>
                <w:color w:val="3F3F3F"/>
                <w:sz w:val="18"/>
                <w:szCs w:val="18"/>
              </w:rPr>
              <w:t xml:space="preserve">Accounting principles (BBA), record keeping, stock and count verification</w:t>
            </w:r>
          </w:p>
        </w:tc>
      </w:tr>
      <w:tr>
        <w:trPr>
          <w:cantSplit/>
        </w:trPr>
        <w:tc>
          <w:tcPr>
            <w:tcW w:type="dxa" w:w="2300"/>
            <w:tcBorders>
              <w:top w:val="none" w:color="FFFFFF" w:sz="0"/>
              <w:left w:val="none" w:color="FFFFFF" w:sz="0"/>
              <w:bottom w:val="none" w:color="FFFFFF" w:sz="0"/>
              <w:right w:val="none" w:color="FFFFFF" w:sz="0"/>
            </w:tcBorders>
            <w:shd w:fill="E7F3F4" w:color="auto" w:val="clear"/>
            <w:tcMar>
              <w:top w:type="dxa" w:w="45"/>
              <w:left w:type="dxa" w:w="140"/>
              <w:bottom w:type="dxa" w:w="45"/>
              <w:right w:type="dxa" w:w="120"/>
            </w:tcMar>
            <w:vAlign w:val="center"/>
          </w:tcPr>
          <w:p>
            <w:r>
              <w:rPr>
                <w:rFonts w:ascii="Calibri" w:cs="Calibri" w:eastAsia="Calibri" w:hAnsi="Calibri"/>
                <w:b/>
                <w:bCs/>
                <w:color w:val="1F3A5F"/>
                <w:sz w:val="18"/>
                <w:szCs w:val="18"/>
              </w:rPr>
              <w:t xml:space="preserve">Interpersonal</w:t>
            </w:r>
          </w:p>
        </w:tc>
        <w:tc>
          <w:tcPr>
            <w:tcW w:type="dxa" w:w="8166"/>
            <w:tcBorders>
              <w:top w:val="none" w:color="FFFFFF" w:sz="0"/>
              <w:left w:val="none" w:color="FFFFFF" w:sz="0"/>
              <w:bottom w:val="single" w:color="DCE9EA" w:sz="4"/>
              <w:right w:val="none" w:color="FFFFFF" w:sz="0"/>
            </w:tcBorders>
            <w:tcMar>
              <w:top w:type="dxa" w:w="45"/>
              <w:left w:type="dxa" w:w="160"/>
              <w:bottom w:type="dxa" w:w="45"/>
              <w:right w:type="dxa" w:w="120"/>
            </w:tcMar>
            <w:vAlign w:val="center"/>
          </w:tcPr>
          <w:p>
            <w:r>
              <w:rPr>
                <w:rFonts w:ascii="Calibri" w:cs="Calibri" w:eastAsia="Calibri" w:hAnsi="Calibri"/>
                <w:color w:val="3F3F3F"/>
                <w:sz w:val="18"/>
                <w:szCs w:val="18"/>
              </w:rPr>
              <w:t xml:space="preserve">Team leadership, community engagement, stakeholder coordination, problem solving, working calmly under pressure in camp settings</w:t>
            </w:r>
          </w:p>
        </w:tc>
      </w:tr>
    </w:tbl>
    <w:p>
      <w:pPr>
        <w:keepNext/>
        <w:pBdr>
          <w:bottom w:val="single" w:color="0E7C86" w:sz="10" w:space="3"/>
        </w:pBdr>
        <w:spacing w:after="70" w:before="150"/>
      </w:pPr>
      <w:r>
        <w:rPr>
          <w:rFonts w:ascii="Calibri" w:cs="Calibri" w:eastAsia="Calibri" w:hAnsi="Calibri"/>
          <w:b/>
          <w:bCs/>
          <w:color w:val="1F3A5F"/>
          <w:spacing w:val="30"/>
          <w:sz w:val="23"/>
          <w:szCs w:val="23"/>
        </w:rPr>
        <w:t xml:space="preserve">LANGUAGES</w:t>
      </w:r>
    </w:p>
    <w:tbl>
      <w:tblPr>
        <w:tblW w:type="dxa" w:w="10466"/>
        <w:tblBorders>
          <w:top w:val="none" w:color="FFFFFF" w:sz="0"/>
          <w:left w:val="none" w:color="FFFFFF" w:sz="0"/>
          <w:bottom w:val="none" w:color="FFFFFF" w:sz="0"/>
          <w:right w:val="none" w:color="FFFFFF" w:sz="0"/>
          <w:insideH w:val="none" w:color="FFFFFF" w:sz="0"/>
          <w:insideV w:val="none" w:color="FFFFFF" w:sz="0"/>
        </w:tblBorders>
      </w:tblPr>
      <w:tblGrid>
        <w:gridCol w:w="2300"/>
        <w:gridCol w:w="8166"/>
      </w:tblGrid>
      <w:tr>
        <w:trPr>
          <w:cantSplit/>
        </w:trPr>
        <w:tc>
          <w:tcPr>
            <w:tcW w:type="dxa" w:w="2300"/>
            <w:tcBorders>
              <w:top w:val="none" w:color="FFFFFF" w:sz="0"/>
              <w:left w:val="none" w:color="FFFFFF" w:sz="0"/>
              <w:bottom w:val="none" w:color="FFFFFF" w:sz="0"/>
              <w:right w:val="none" w:color="FFFFFF" w:sz="0"/>
            </w:tcBorders>
            <w:shd w:fill="E7F3F4" w:color="auto" w:val="clear"/>
            <w:tcMar>
              <w:top w:type="dxa" w:w="45"/>
              <w:left w:type="dxa" w:w="140"/>
              <w:bottom w:type="dxa" w:w="45"/>
              <w:right w:type="dxa" w:w="120"/>
            </w:tcMar>
            <w:vAlign w:val="center"/>
          </w:tcPr>
          <w:p>
            <w:r>
              <w:rPr>
                <w:rFonts w:ascii="Calibri" w:cs="Calibri" w:eastAsia="Calibri" w:hAnsi="Calibri"/>
                <w:b/>
                <w:bCs/>
                <w:color w:val="1F3A5F"/>
                <w:sz w:val="18"/>
                <w:szCs w:val="18"/>
              </w:rPr>
              <w:t xml:space="preserve">Bangla</w:t>
            </w:r>
          </w:p>
        </w:tc>
        <w:tc>
          <w:tcPr>
            <w:tcW w:type="dxa" w:w="8166"/>
            <w:tcBorders>
              <w:top w:val="none" w:color="FFFFFF" w:sz="0"/>
              <w:left w:val="none" w:color="FFFFFF" w:sz="0"/>
              <w:bottom w:val="single" w:color="DCE9EA" w:sz="4"/>
              <w:right w:val="none" w:color="FFFFFF" w:sz="0"/>
            </w:tcBorders>
            <w:tcMar>
              <w:top w:type="dxa" w:w="45"/>
              <w:left w:type="dxa" w:w="160"/>
              <w:bottom w:type="dxa" w:w="45"/>
              <w:right w:type="dxa" w:w="120"/>
            </w:tcMar>
            <w:vAlign w:val="center"/>
          </w:tcPr>
          <w:p>
            <w:r>
              <w:rPr>
                <w:rFonts w:ascii="Calibri" w:cs="Calibri" w:eastAsia="Calibri" w:hAnsi="Calibri"/>
                <w:color w:val="3F3F3F"/>
                <w:sz w:val="18"/>
                <w:szCs w:val="18"/>
              </w:rPr>
              <w:t xml:space="preserve">Native: excellent speaking, reading and writing (also native Chittagonian speaker)</w:t>
            </w:r>
          </w:p>
        </w:tc>
      </w:tr>
      <w:tr>
        <w:trPr>
          <w:cantSplit/>
        </w:trPr>
        <w:tc>
          <w:tcPr>
            <w:tcW w:type="dxa" w:w="2300"/>
            <w:tcBorders>
              <w:top w:val="none" w:color="FFFFFF" w:sz="0"/>
              <w:left w:val="none" w:color="FFFFFF" w:sz="0"/>
              <w:bottom w:val="none" w:color="FFFFFF" w:sz="0"/>
              <w:right w:val="none" w:color="FFFFFF" w:sz="0"/>
            </w:tcBorders>
            <w:shd w:fill="E7F3F4" w:color="auto" w:val="clear"/>
            <w:tcMar>
              <w:top w:type="dxa" w:w="45"/>
              <w:left w:type="dxa" w:w="140"/>
              <w:bottom w:type="dxa" w:w="45"/>
              <w:right w:type="dxa" w:w="120"/>
            </w:tcMar>
            <w:vAlign w:val="center"/>
          </w:tcPr>
          <w:p>
            <w:r>
              <w:rPr>
                <w:rFonts w:ascii="Calibri" w:cs="Calibri" w:eastAsia="Calibri" w:hAnsi="Calibri"/>
                <w:b/>
                <w:bCs/>
                <w:color w:val="1F3A5F"/>
                <w:sz w:val="18"/>
                <w:szCs w:val="18"/>
              </w:rPr>
              <w:t xml:space="preserve">English</w:t>
            </w:r>
          </w:p>
        </w:tc>
        <w:tc>
          <w:tcPr>
            <w:tcW w:type="dxa" w:w="8166"/>
            <w:tcBorders>
              <w:top w:val="none" w:color="FFFFFF" w:sz="0"/>
              <w:left w:val="none" w:color="FFFFFF" w:sz="0"/>
              <w:bottom w:val="single" w:color="DCE9EA" w:sz="4"/>
              <w:right w:val="none" w:color="FFFFFF" w:sz="0"/>
            </w:tcBorders>
            <w:tcMar>
              <w:top w:type="dxa" w:w="45"/>
              <w:left w:type="dxa" w:w="160"/>
              <w:bottom w:type="dxa" w:w="45"/>
              <w:right w:type="dxa" w:w="120"/>
            </w:tcMar>
            <w:vAlign w:val="center"/>
          </w:tcPr>
          <w:p>
            <w:r>
              <w:rPr>
                <w:rFonts w:ascii="Calibri" w:cs="Calibri" w:eastAsia="Calibri" w:hAnsi="Calibri"/>
                <w:color w:val="3F3F3F"/>
                <w:sz w:val="18"/>
                <w:szCs w:val="18"/>
              </w:rPr>
              <w:t xml:space="preserve">Fluent, professional (C1): speaking, reading, writing, reporting and official correspondence</w:t>
            </w:r>
          </w:p>
        </w:tc>
      </w:tr>
      <w:tr>
        <w:trPr>
          <w:cantSplit/>
        </w:trPr>
        <w:tc>
          <w:tcPr>
            <w:tcW w:type="dxa" w:w="2300"/>
            <w:tcBorders>
              <w:top w:val="none" w:color="FFFFFF" w:sz="0"/>
              <w:left w:val="none" w:color="FFFFFF" w:sz="0"/>
              <w:bottom w:val="none" w:color="FFFFFF" w:sz="0"/>
              <w:right w:val="none" w:color="FFFFFF" w:sz="0"/>
            </w:tcBorders>
            <w:shd w:fill="E7F3F4" w:color="auto" w:val="clear"/>
            <w:tcMar>
              <w:top w:type="dxa" w:w="45"/>
              <w:left w:type="dxa" w:w="140"/>
              <w:bottom w:type="dxa" w:w="45"/>
              <w:right w:type="dxa" w:w="120"/>
            </w:tcMar>
            <w:vAlign w:val="center"/>
          </w:tcPr>
          <w:p>
            <w:r>
              <w:rPr>
                <w:rFonts w:ascii="Calibri" w:cs="Calibri" w:eastAsia="Calibri" w:hAnsi="Calibri"/>
                <w:b/>
                <w:bCs/>
                <w:color w:val="1F3A5F"/>
                <w:sz w:val="18"/>
                <w:szCs w:val="18"/>
              </w:rPr>
              <w:t xml:space="preserve">Rohingya</w:t>
            </w:r>
          </w:p>
        </w:tc>
        <w:tc>
          <w:tcPr>
            <w:tcW w:type="dxa" w:w="8166"/>
            <w:tcBorders>
              <w:top w:val="none" w:color="FFFFFF" w:sz="0"/>
              <w:left w:val="none" w:color="FFFFFF" w:sz="0"/>
              <w:bottom w:val="single" w:color="DCE9EA" w:sz="4"/>
              <w:right w:val="none" w:color="FFFFFF" w:sz="0"/>
            </w:tcBorders>
            <w:tcMar>
              <w:top w:type="dxa" w:w="45"/>
              <w:left w:type="dxa" w:w="160"/>
              <w:bottom w:type="dxa" w:w="45"/>
              <w:right w:type="dxa" w:w="120"/>
            </w:tcMar>
            <w:vAlign w:val="center"/>
          </w:tcPr>
          <w:p>
            <w:r>
              <w:rPr>
                <w:rFonts w:ascii="Calibri" w:cs="Calibri" w:eastAsia="Calibri" w:hAnsi="Calibri"/>
                <w:color w:val="3F3F3F"/>
                <w:sz w:val="18"/>
                <w:szCs w:val="18"/>
              </w:rPr>
              <w:t xml:space="preserve">Fluent, professional (C1): daily communication with Rohingya community members, leaders and volunteers</w:t>
            </w:r>
          </w:p>
        </w:tc>
      </w:tr>
    </w:tbl>
    <w:p>
      <w:pPr>
        <w:keepNext/>
        <w:pBdr>
          <w:bottom w:val="single" w:color="0E7C86" w:sz="10" w:space="3"/>
        </w:pBdr>
        <w:spacing w:after="70" w:before="150"/>
      </w:pPr>
      <w:r>
        <w:rPr>
          <w:rFonts w:ascii="Calibri" w:cs="Calibri" w:eastAsia="Calibri" w:hAnsi="Calibri"/>
          <w:b/>
          <w:bCs/>
          <w:color w:val="1F3A5F"/>
          <w:spacing w:val="30"/>
          <w:sz w:val="23"/>
          <w:szCs w:val="23"/>
        </w:rPr>
        <w:t xml:space="preserve">PERSONAL INTERESTS</w:t>
      </w:r>
    </w:p>
    <w:tbl>
      <w:tblPr>
        <w:tblW w:type="dxa" w:w="10466"/>
        <w:tblBorders>
          <w:top w:val="none" w:color="FFFFFF" w:sz="0"/>
          <w:left w:val="none" w:color="FFFFFF" w:sz="0"/>
          <w:bottom w:val="none" w:color="FFFFFF" w:sz="0"/>
          <w:right w:val="none" w:color="FFFFFF" w:sz="0"/>
          <w:insideH w:val="none" w:color="FFFFFF" w:sz="0"/>
          <w:insideV w:val="none" w:color="FFFFFF" w:sz="0"/>
        </w:tblBorders>
      </w:tblPr>
      <w:tblGrid>
        <w:gridCol w:w="2300"/>
        <w:gridCol w:w="8166"/>
      </w:tblGrid>
      <w:tr>
        <w:trPr>
          <w:cantSplit/>
        </w:trPr>
        <w:tc>
          <w:tcPr>
            <w:tcW w:type="dxa" w:w="2300"/>
            <w:tcBorders>
              <w:top w:val="none" w:color="FFFFFF" w:sz="0"/>
              <w:left w:val="none" w:color="FFFFFF" w:sz="0"/>
              <w:bottom w:val="none" w:color="FFFFFF" w:sz="0"/>
              <w:right w:val="none" w:color="FFFFFF" w:sz="0"/>
            </w:tcBorders>
            <w:shd w:fill="E7F3F4" w:color="auto" w:val="clear"/>
            <w:tcMar>
              <w:top w:type="dxa" w:w="45"/>
              <w:left w:type="dxa" w:w="140"/>
              <w:bottom w:type="dxa" w:w="45"/>
              <w:right w:type="dxa" w:w="120"/>
            </w:tcMar>
            <w:vAlign w:val="center"/>
          </w:tcPr>
          <w:p>
            <w:r>
              <w:rPr>
                <w:rFonts w:ascii="Calibri" w:cs="Calibri" w:eastAsia="Calibri" w:hAnsi="Calibri"/>
                <w:b/>
                <w:bCs/>
                <w:color w:val="1F3A5F"/>
                <w:sz w:val="18"/>
                <w:szCs w:val="18"/>
              </w:rPr>
              <w:t xml:space="preserve">Gardening &amp; Plants</w:t>
            </w:r>
          </w:p>
        </w:tc>
        <w:tc>
          <w:tcPr>
            <w:tcW w:type="dxa" w:w="8166"/>
            <w:tcBorders>
              <w:top w:val="none" w:color="FFFFFF" w:sz="0"/>
              <w:left w:val="none" w:color="FFFFFF" w:sz="0"/>
              <w:bottom w:val="single" w:color="DCE9EA" w:sz="4"/>
              <w:right w:val="none" w:color="FFFFFF" w:sz="0"/>
            </w:tcBorders>
            <w:tcMar>
              <w:top w:type="dxa" w:w="45"/>
              <w:left w:type="dxa" w:w="160"/>
              <w:bottom w:type="dxa" w:w="45"/>
              <w:right w:type="dxa" w:w="120"/>
            </w:tcMar>
            <w:vAlign w:val="center"/>
          </w:tcPr>
          <w:p>
            <w:r>
              <w:rPr>
                <w:rFonts w:ascii="Calibri" w:cs="Calibri" w:eastAsia="Calibri" w:hAnsi="Calibri"/>
                <w:color w:val="3F3F3F"/>
                <w:sz w:val="18"/>
                <w:szCs w:val="18"/>
              </w:rPr>
              <w:t xml:space="preserve">Strong knowledge of tree plantation; personally grows and cares for 100+ varieties of flowers, indoor and outdoor plants</w:t>
            </w:r>
          </w:p>
        </w:tc>
      </w:tr>
      <w:tr>
        <w:trPr>
          <w:cantSplit/>
        </w:trPr>
        <w:tc>
          <w:tcPr>
            <w:tcW w:type="dxa" w:w="2300"/>
            <w:tcBorders>
              <w:top w:val="none" w:color="FFFFFF" w:sz="0"/>
              <w:left w:val="none" w:color="FFFFFF" w:sz="0"/>
              <w:bottom w:val="none" w:color="FFFFFF" w:sz="0"/>
              <w:right w:val="none" w:color="FFFFFF" w:sz="0"/>
            </w:tcBorders>
            <w:shd w:fill="E7F3F4" w:color="auto" w:val="clear"/>
            <w:tcMar>
              <w:top w:type="dxa" w:w="45"/>
              <w:left w:type="dxa" w:w="140"/>
              <w:bottom w:type="dxa" w:w="45"/>
              <w:right w:type="dxa" w:w="120"/>
            </w:tcMar>
            <w:vAlign w:val="center"/>
          </w:tcPr>
          <w:p>
            <w:r>
              <w:rPr>
                <w:rFonts w:ascii="Calibri" w:cs="Calibri" w:eastAsia="Calibri" w:hAnsi="Calibri"/>
                <w:b/>
                <w:bCs/>
                <w:color w:val="1F3A5F"/>
                <w:sz w:val="18"/>
                <w:szCs w:val="18"/>
              </w:rPr>
              <w:t xml:space="preserve">Animal Care</w:t>
            </w:r>
          </w:p>
        </w:tc>
        <w:tc>
          <w:tcPr>
            <w:tcW w:type="dxa" w:w="8166"/>
            <w:tcBorders>
              <w:top w:val="none" w:color="FFFFFF" w:sz="0"/>
              <w:left w:val="none" w:color="FFFFFF" w:sz="0"/>
              <w:bottom w:val="single" w:color="DCE9EA" w:sz="4"/>
              <w:right w:val="none" w:color="FFFFFF" w:sz="0"/>
            </w:tcBorders>
            <w:tcMar>
              <w:top w:type="dxa" w:w="45"/>
              <w:left w:type="dxa" w:w="160"/>
              <w:bottom w:type="dxa" w:w="45"/>
              <w:right w:type="dxa" w:w="120"/>
            </w:tcMar>
            <w:vAlign w:val="center"/>
          </w:tcPr>
          <w:p>
            <w:r>
              <w:rPr>
                <w:rFonts w:ascii="Calibri" w:cs="Calibri" w:eastAsia="Calibri" w:hAnsi="Calibri"/>
                <w:color w:val="3F3F3F"/>
                <w:sz w:val="18"/>
                <w:szCs w:val="18"/>
              </w:rPr>
              <w:t xml:space="preserve">Passionate about cats; has cared for three cats for the past four years</w:t>
            </w:r>
          </w:p>
        </w:tc>
      </w:tr>
    </w:tbl>
    <w:p>
      <w:pPr>
        <w:keepNext/>
        <w:pBdr>
          <w:bottom w:val="single" w:color="0E7C86" w:sz="10" w:space="3"/>
        </w:pBdr>
        <w:spacing w:after="70" w:before="150"/>
      </w:pPr>
      <w:r>
        <w:rPr>
          <w:rFonts w:ascii="Calibri" w:cs="Calibri" w:eastAsia="Calibri" w:hAnsi="Calibri"/>
          <w:b/>
          <w:bCs/>
          <w:color w:val="1F3A5F"/>
          <w:spacing w:val="30"/>
          <w:sz w:val="23"/>
          <w:szCs w:val="23"/>
        </w:rPr>
        <w:t xml:space="preserve">REFERENCES</w:t>
      </w:r>
    </w:p>
    <w:tbl>
      <w:tblPr>
        <w:tblW w:type="dxa" w:w="10466"/>
        <w:tblBorders>
          <w:top w:val="none" w:color="FFFFFF" w:sz="0"/>
          <w:left w:val="none" w:color="FFFFFF" w:sz="0"/>
          <w:bottom w:val="none" w:color="FFFFFF" w:sz="0"/>
          <w:right w:val="none" w:color="FFFFFF" w:sz="0"/>
          <w:insideH w:val="none" w:color="FFFFFF" w:sz="0"/>
          <w:insideV w:val="none" w:color="FFFFFF" w:sz="0"/>
        </w:tblBorders>
      </w:tblPr>
      <w:tblGrid>
        <w:gridCol w:w="3488"/>
        <w:gridCol w:w="3489"/>
        <w:gridCol w:w="3489"/>
      </w:tblGrid>
      <w:tr>
        <w:trPr>
          <w:cantSplit/>
        </w:trPr>
        <w:tc>
          <w:tcPr>
            <w:tcW w:type="dxa" w:w="3488"/>
            <w:tcBorders>
              <w:top w:val="none" w:color="FFFFFF" w:sz="0"/>
              <w:left w:val="single" w:color="0E7C86" w:sz="18"/>
              <w:bottom w:val="none" w:color="FFFFFF" w:sz="0"/>
              <w:right w:val="none" w:color="FFFFFF" w:sz="0"/>
            </w:tcBorders>
            <w:tcMar>
              <w:top w:type="dxa" w:w="40"/>
              <w:left w:type="dxa" w:w="160"/>
              <w:bottom w:type="dxa" w:w="40"/>
              <w:right w:type="dxa" w:w="100"/>
            </w:tcMar>
          </w:tcPr>
          <w:p>
            <w:pPr>
              <w:spacing w:after="10"/>
            </w:pPr>
            <w:r>
              <w:rPr>
                <w:rFonts w:ascii="Calibri" w:cs="Calibri" w:eastAsia="Calibri" w:hAnsi="Calibri"/>
                <w:b/>
                <w:bCs/>
                <w:color w:val="1F3A5F"/>
                <w:sz w:val="21"/>
                <w:szCs w:val="21"/>
              </w:rPr>
              <w:t xml:space="preserve">Nasrin Akter Hasi</w:t>
            </w:r>
          </w:p>
          <w:p>
            <w:pPr>
              <w:spacing w:after="10"/>
            </w:pPr>
            <w:r>
              <w:rPr>
                <w:rFonts w:ascii="Calibri" w:cs="Calibri" w:eastAsia="Calibri" w:hAnsi="Calibri"/>
                <w:color w:val="3F3F3F"/>
                <w:sz w:val="19"/>
                <w:szCs w:val="19"/>
              </w:rPr>
              <w:t xml:space="preserve">Senior Project Associate, Shelter/NFI (LPG)</w:t>
            </w:r>
          </w:p>
          <w:p>
            <w:pPr>
              <w:spacing w:after="10"/>
            </w:pPr>
            <w:r>
              <w:rPr>
                <w:rFonts w:ascii="Calibri" w:cs="Calibri" w:eastAsia="Calibri" w:hAnsi="Calibri"/>
                <w:color w:val="3F3F3F"/>
                <w:sz w:val="19"/>
                <w:szCs w:val="19"/>
              </w:rPr>
              <w:t xml:space="preserve">International Organization for Migration (IOM), Cox's Bazar</w:t>
            </w:r>
          </w:p>
          <w:p>
            <w:pPr>
              <w:spacing w:after="10"/>
            </w:pPr>
            <w:r>
              <w:rPr>
                <w:rFonts w:ascii="Calibri" w:cs="Calibri" w:eastAsia="Calibri" w:hAnsi="Calibri"/>
                <w:color w:val="3F3F3F"/>
                <w:sz w:val="19"/>
                <w:szCs w:val="19"/>
              </w:rPr>
              <w:t xml:space="preserve">Phone: +880 1722-205648</w:t>
            </w:r>
          </w:p>
          <w:p>
            <w:pPr>
              <w:spacing w:after="10"/>
            </w:pPr>
            <w:r>
              <w:rPr>
                <w:rFonts w:ascii="Calibri" w:cs="Calibri" w:eastAsia="Calibri" w:hAnsi="Calibri"/>
                <w:color w:val="3F3F3F"/>
                <w:sz w:val="19"/>
                <w:szCs w:val="19"/>
              </w:rPr>
              <w:t xml:space="preserve">Email: nhasi@iom.int</w:t>
            </w:r>
          </w:p>
        </w:tc>
        <w:tc>
          <w:tcPr>
            <w:tcW w:type="dxa" w:w="3489"/>
            <w:tcBorders>
              <w:top w:val="none" w:color="FFFFFF" w:sz="0"/>
              <w:left w:val="single" w:color="0E7C86" w:sz="18"/>
              <w:bottom w:val="none" w:color="FFFFFF" w:sz="0"/>
              <w:right w:val="none" w:color="FFFFFF" w:sz="0"/>
            </w:tcBorders>
            <w:tcMar>
              <w:top w:type="dxa" w:w="40"/>
              <w:left w:type="dxa" w:w="160"/>
              <w:bottom w:type="dxa" w:w="40"/>
              <w:right w:type="dxa" w:w="100"/>
            </w:tcMar>
          </w:tcPr>
          <w:p>
            <w:pPr>
              <w:spacing w:after="10"/>
            </w:pPr>
            <w:r>
              <w:rPr>
                <w:rFonts w:ascii="Calibri" w:cs="Calibri" w:eastAsia="Calibri" w:hAnsi="Calibri"/>
                <w:b/>
                <w:bCs/>
                <w:color w:val="1F3A5F"/>
                <w:sz w:val="21"/>
                <w:szCs w:val="21"/>
              </w:rPr>
              <w:t xml:space="preserve">Sujoy Paul</w:t>
            </w:r>
          </w:p>
          <w:p>
            <w:pPr>
              <w:spacing w:after="10"/>
            </w:pPr>
            <w:r>
              <w:rPr>
                <w:rFonts w:ascii="Calibri" w:cs="Calibri" w:eastAsia="Calibri" w:hAnsi="Calibri"/>
                <w:color w:val="3F3F3F"/>
                <w:sz w:val="19"/>
                <w:szCs w:val="19"/>
              </w:rPr>
              <w:t xml:space="preserve">Field Assistant</w:t>
            </w:r>
          </w:p>
          <w:p>
            <w:pPr>
              <w:spacing w:after="10"/>
            </w:pPr>
            <w:r>
              <w:rPr>
                <w:rFonts w:ascii="Calibri" w:cs="Calibri" w:eastAsia="Calibri" w:hAnsi="Calibri"/>
                <w:color w:val="3F3F3F"/>
                <w:sz w:val="19"/>
                <w:szCs w:val="19"/>
              </w:rPr>
              <w:t xml:space="preserve">International Organization for Migration (IOM), Cox's Bazar</w:t>
            </w:r>
          </w:p>
          <w:p>
            <w:pPr>
              <w:spacing w:after="10"/>
            </w:pPr>
            <w:r>
              <w:rPr>
                <w:rFonts w:ascii="Calibri" w:cs="Calibri" w:eastAsia="Calibri" w:hAnsi="Calibri"/>
                <w:color w:val="3F3F3F"/>
                <w:sz w:val="19"/>
                <w:szCs w:val="19"/>
              </w:rPr>
              <w:t xml:space="preserve">Phone: +880 1553-481659</w:t>
            </w:r>
          </w:p>
          <w:p>
            <w:pPr>
              <w:spacing w:after="10"/>
            </w:pPr>
            <w:r>
              <w:rPr>
                <w:rFonts w:ascii="Calibri" w:cs="Calibri" w:eastAsia="Calibri" w:hAnsi="Calibri"/>
                <w:color w:val="3F3F3F"/>
                <w:sz w:val="19"/>
                <w:szCs w:val="19"/>
              </w:rPr>
              <w:t xml:space="preserve">Email: spaul@iom.int</w:t>
            </w:r>
          </w:p>
        </w:tc>
        <w:tc>
          <w:tcPr>
            <w:tcW w:type="dxa" w:w="3489"/>
            <w:tcBorders>
              <w:top w:val="none" w:color="FFFFFF" w:sz="0"/>
              <w:left w:val="single" w:color="0E7C86" w:sz="18"/>
              <w:bottom w:val="none" w:color="FFFFFF" w:sz="0"/>
              <w:right w:val="none" w:color="FFFFFF" w:sz="0"/>
            </w:tcBorders>
            <w:tcMar>
              <w:top w:type="dxa" w:w="40"/>
              <w:left w:type="dxa" w:w="160"/>
              <w:bottom w:type="dxa" w:w="40"/>
              <w:right w:type="dxa" w:w="100"/>
            </w:tcMar>
          </w:tcPr>
          <w:p>
            <w:pPr>
              <w:spacing w:after="10"/>
            </w:pPr>
            <w:r>
              <w:rPr>
                <w:rFonts w:ascii="Calibri" w:cs="Calibri" w:eastAsia="Calibri" w:hAnsi="Calibri"/>
                <w:b/>
                <w:bCs/>
                <w:color w:val="1F3A5F"/>
                <w:sz w:val="21"/>
                <w:szCs w:val="21"/>
              </w:rPr>
              <w:t xml:space="preserve">Dr. Emon Kalyan Chowdhury</w:t>
            </w:r>
          </w:p>
          <w:p>
            <w:pPr>
              <w:spacing w:after="10"/>
            </w:pPr>
            <w:r>
              <w:rPr>
                <w:rFonts w:ascii="Calibri" w:cs="Calibri" w:eastAsia="Calibri" w:hAnsi="Calibri"/>
                <w:color w:val="3F3F3F"/>
                <w:sz w:val="19"/>
                <w:szCs w:val="19"/>
              </w:rPr>
              <w:t xml:space="preserve">Professor, Dean &amp; Head of Accounting</w:t>
            </w:r>
          </w:p>
          <w:p>
            <w:pPr>
              <w:spacing w:after="10"/>
            </w:pPr>
            <w:r>
              <w:rPr>
                <w:rFonts w:ascii="Calibri" w:cs="Calibri" w:eastAsia="Calibri" w:hAnsi="Calibri"/>
                <w:color w:val="3F3F3F"/>
                <w:sz w:val="19"/>
                <w:szCs w:val="19"/>
              </w:rPr>
              <w:t xml:space="preserve">Chittagong Independent University (CIU)</w:t>
            </w:r>
          </w:p>
          <w:p>
            <w:pPr>
              <w:spacing w:after="10"/>
            </w:pPr>
            <w:r>
              <w:rPr>
                <w:rFonts w:ascii="Calibri" w:cs="Calibri" w:eastAsia="Calibri" w:hAnsi="Calibri"/>
                <w:color w:val="3F3F3F"/>
                <w:sz w:val="19"/>
                <w:szCs w:val="19"/>
              </w:rPr>
              <w:t xml:space="preserve">Phone: 02333351262</w:t>
            </w:r>
          </w:p>
          <w:p>
            <w:pPr>
              <w:spacing w:after="10"/>
            </w:pPr>
            <w:r>
              <w:rPr>
                <w:rFonts w:ascii="Calibri" w:cs="Calibri" w:eastAsia="Calibri" w:hAnsi="Calibri"/>
                <w:color w:val="3F3F3F"/>
                <w:sz w:val="19"/>
                <w:szCs w:val="19"/>
              </w:rPr>
              <w:t xml:space="preserve">Email: emonkalyanchy@ciu.edu.bd</w:t>
            </w:r>
          </w:p>
        </w:tc>
      </w:tr>
    </w:tbl>
    <w:sectPr>
      <w:footerReference w:type="default" r:id="rId7"/>
      <w:pgSz w:w="11906" w:h="16838" w:orient="portrait"/>
      <w:pgMar w:top="560" w:right="720" w:bottom="56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F6F6F"/>
        <w:sz w:val="16"/>
        <w:szCs w:val="16"/>
      </w:rPr>
      <w:t xml:space="preserve">Israt Jahan Mim  |  Curriculum Vitae  |  Page </w:t>
    </w:r>
    <w:r>
      <w:rPr>
        <w:rFonts w:ascii="Calibri" w:cs="Calibri" w:eastAsia="Calibri" w:hAnsi="Calibri"/>
        <w:color w:val="6F6F6F"/>
        <w:sz w:val="16"/>
        <w:szCs w:val="16"/>
      </w:rPr>
      <w:fldChar w:fldCharType="begin"/>
      <w:instrText xml:space="preserve">PAGE</w:instrText>
      <w:fldChar w:fldCharType="separate"/>
      <w:fldChar w:fldCharType="end"/>
    </w:r>
    <w:r>
      <w:rPr>
        <w:rFonts w:ascii="Calibri" w:cs="Calibri" w:eastAsia="Calibri" w:hAnsi="Calibri"/>
        <w:color w:val="6F6F6F"/>
        <w:sz w:val="16"/>
        <w:szCs w:val="16"/>
      </w:rPr>
      <w:t xml:space="preserve"> of </w:t>
    </w:r>
    <w:r>
      <w:rPr>
        <w:rFonts w:ascii="Calibri" w:cs="Calibri" w:eastAsia="Calibri" w:hAnsi="Calibri"/>
        <w:color w:val="6F6F6F"/>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20"/>
      </w:pPr>
      <w:rPr>
        <w:rFonts w:ascii="Calibri" w:cs="Calibri" w:eastAsia="Calibri" w:hAnsi="Calibri"/>
        <w:color w:val="0E7C8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F3F3F"/>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 Israt Jahan Mim</dc:title>
  <dc:creator>Israt Jahan Mim</dc:creator>
  <cp:lastModifiedBy>Un-named</cp:lastModifiedBy>
  <cp:revision>1</cp:revision>
  <dcterms:created xsi:type="dcterms:W3CDTF">2026-10-01T05:37:27.094Z</dcterms:created>
  <dcterms:modified xsi:type="dcterms:W3CDTF">2026-10-01T05:37:27.104Z</dcterms:modified>
</cp:coreProperties>
</file>

<file path=docProps/custom.xml><?xml version="1.0" encoding="utf-8"?>
<Properties xmlns="http://schemas.openxmlformats.org/officeDocument/2006/custom-properties" xmlns:vt="http://schemas.openxmlformats.org/officeDocument/2006/docPropsVTypes"/>
</file>